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NoSpacing"/>
        <w:rPr/>
      </w:pPr>
      <w:r>
        <w:rPr/>
        <w:t>РЕПУБЛИКА СРБИЈА</w:t>
      </w:r>
    </w:p>
    <w:p>
      <w:pPr>
        <w:pStyle w:val="NoSpacing"/>
        <w:rPr/>
      </w:pPr>
      <w:r>
        <w:rPr/>
        <w:t>ОПШТИНА ЋИЋЕВАЦ</w:t>
      </w:r>
    </w:p>
    <w:p>
      <w:pPr>
        <w:pStyle w:val="NoSpacing"/>
        <w:rPr/>
      </w:pPr>
      <w:r>
        <w:rPr>
          <w:lang w:val="sr-RS"/>
        </w:rPr>
        <w:t>О</w:t>
      </w:r>
      <w:r>
        <w:rPr/>
        <w:t>дсек  за буџет, финансије,</w:t>
      </w:r>
      <w:r>
        <w:rPr>
          <w:lang w:val="sr-RS"/>
        </w:rPr>
        <w:t>локалну пореску администрацију,</w:t>
      </w:r>
    </w:p>
    <w:p>
      <w:pPr>
        <w:pStyle w:val="NoSpacing"/>
        <w:rPr/>
      </w:pPr>
      <w:r>
        <w:rPr>
          <w:lang w:val="sr-RS"/>
        </w:rPr>
        <w:t>привреду и локални економски развој</w:t>
      </w:r>
      <w:r>
        <w:rPr/>
        <w:t xml:space="preserve"> </w:t>
      </w:r>
    </w:p>
    <w:p>
      <w:pPr>
        <w:pStyle w:val="NoSpacing"/>
        <w:rPr/>
      </w:pPr>
      <w:r>
        <w:rPr/>
        <w:t xml:space="preserve"> </w:t>
      </w:r>
      <w:r>
        <w:rPr/>
        <w:t>Број: 40</w:t>
      </w:r>
      <w:r>
        <w:rPr>
          <w:lang w:val="sr-RS"/>
        </w:rPr>
        <w:t>0</w:t>
      </w:r>
      <w:r>
        <w:rPr/>
        <w:t>-</w:t>
      </w:r>
      <w:r>
        <w:rPr>
          <w:lang w:val="sr-Latn-RS"/>
        </w:rPr>
        <w:t>31</w:t>
      </w:r>
      <w:r>
        <w:rPr/>
        <w:t>/</w:t>
      </w:r>
      <w:r>
        <w:rPr>
          <w:lang w:val="sr-RS"/>
        </w:rPr>
        <w:t>2</w:t>
      </w:r>
      <w:r>
        <w:rPr>
          <w:lang w:val="sr-Latn-RS"/>
        </w:rPr>
        <w:t>1</w:t>
      </w:r>
      <w:r>
        <w:rPr/>
        <w:t>-0</w:t>
      </w:r>
      <w:r>
        <w:rPr/>
        <w:t>1</w:t>
      </w:r>
    </w:p>
    <w:p>
      <w:pPr>
        <w:pStyle w:val="NoSpacing"/>
        <w:rPr/>
      </w:pPr>
      <w:r>
        <w:rPr/>
        <w:t xml:space="preserve"> </w:t>
      </w:r>
      <w:r>
        <w:rPr/>
        <w:t xml:space="preserve">Дана: </w:t>
      </w:r>
      <w:r>
        <w:rPr>
          <w:lang w:val="sr-Latn-RS"/>
        </w:rPr>
        <w:t>2</w:t>
      </w:r>
      <w:r>
        <w:rPr>
          <w:lang w:val="sr-Latn-RS"/>
        </w:rPr>
        <w:t>9</w:t>
      </w:r>
      <w:r>
        <w:rPr>
          <w:lang w:val="sr-Latn-RS"/>
        </w:rPr>
        <w:t>.07.202</w:t>
      </w:r>
      <w:r>
        <w:rPr>
          <w:lang w:val="sr-Latn-RS"/>
        </w:rPr>
        <w:t>1.</w:t>
      </w:r>
      <w:r>
        <w:rPr/>
        <w:t xml:space="preserve"> године </w:t>
      </w:r>
    </w:p>
    <w:p>
      <w:pPr>
        <w:pStyle w:val="NoSpacing"/>
        <w:rPr/>
      </w:pPr>
      <w:r>
        <w:rPr/>
        <w:t xml:space="preserve"> </w:t>
      </w:r>
      <w:r>
        <w:rPr/>
        <w:t xml:space="preserve">Ћ И Ћ Е В А Ц </w:t>
      </w:r>
    </w:p>
    <w:p>
      <w:pPr>
        <w:pStyle w:val="NoSpacing"/>
        <w:rPr/>
      </w:pPr>
      <w:r>
        <w:rPr/>
      </w:r>
    </w:p>
    <w:p>
      <w:pPr>
        <w:pStyle w:val="NoSpacing"/>
        <w:rPr/>
      </w:pPr>
      <w:r>
        <w:rPr/>
      </w:r>
    </w:p>
    <w:p>
      <w:pPr>
        <w:pStyle w:val="Normal"/>
        <w:jc w:val="center"/>
        <w:rPr>
          <w:b/>
          <w:b/>
        </w:rPr>
      </w:pPr>
      <w:r>
        <w:rPr>
          <w:b/>
        </w:rPr>
        <w:t>УПУТСТВО ЗА ПРИПРЕМУ НАЦРТА БУЏЕТА ОПШТИНЕ ЋИЋЕВАЦ  ЗА 202</w:t>
      </w:r>
      <w:r>
        <w:rPr>
          <w:b/>
          <w:lang w:val="sr-RS"/>
        </w:rPr>
        <w:t>2</w:t>
      </w:r>
      <w:r>
        <w:rPr>
          <w:b/>
        </w:rPr>
        <w:t>. ГОДИНУ</w:t>
      </w:r>
      <w:r>
        <w:rPr>
          <w:b/>
          <w:lang w:val="sr-RS"/>
        </w:rPr>
        <w:t xml:space="preserve"> И</w:t>
      </w:r>
      <w:r>
        <w:rPr>
          <w:b w:val="false"/>
          <w:bCs w:val="false"/>
          <w:lang w:val="sr-RS"/>
        </w:rPr>
        <w:t xml:space="preserve"> </w:t>
      </w:r>
      <w:r>
        <w:rPr>
          <w:b/>
          <w:bCs w:val="false"/>
          <w:lang w:val="sr-RS"/>
        </w:rPr>
        <w:t>П</w:t>
      </w:r>
      <w:r>
        <w:rPr>
          <w:b/>
        </w:rPr>
        <w:t>РОЈЕКЦИЈА ЗА 202</w:t>
      </w:r>
      <w:r>
        <w:rPr>
          <w:b/>
          <w:lang w:val="sr-RS"/>
        </w:rPr>
        <w:t>3</w:t>
      </w:r>
      <w:r>
        <w:rPr>
          <w:b/>
        </w:rPr>
        <w:t>. И 202</w:t>
      </w:r>
      <w:r>
        <w:rPr>
          <w:b/>
          <w:lang w:val="sr-RS"/>
        </w:rPr>
        <w:t>4</w:t>
      </w:r>
      <w:r>
        <w:rPr>
          <w:b/>
        </w:rPr>
        <w:t>. ГОДИНУ</w:t>
      </w:r>
    </w:p>
    <w:p>
      <w:pPr>
        <w:pStyle w:val="Normal"/>
        <w:rPr/>
      </w:pPr>
      <w:r>
        <w:rPr/>
      </w:r>
    </w:p>
    <w:p>
      <w:pPr>
        <w:pStyle w:val="Normal"/>
        <w:rPr/>
      </w:pPr>
      <w:r>
        <w:rPr/>
        <w:t xml:space="preserve"> </w:t>
      </w:r>
      <w:r>
        <w:rPr/>
        <w:t xml:space="preserve">УВОД </w:t>
      </w:r>
    </w:p>
    <w:p>
      <w:pPr>
        <w:pStyle w:val="NoSpacing"/>
        <w:ind w:firstLine="720"/>
        <w:rPr/>
      </w:pPr>
      <w:r>
        <w:rPr/>
        <w:t>На основу члана  36а</w:t>
      </w:r>
      <w:r>
        <w:rPr>
          <w:b/>
        </w:rPr>
        <w:t>.  Закона о буџетском систему („Сл. гласник РС“, бр. 54/2009, 73/2010, 101/2010, 101/2011, 93/2012, 62/2013-испр, 108/2013, 142/2014, 68/2015 (др.закон), 103/2015 , 99/2016 , 113/17, 95/18 ,31/19</w:t>
      </w:r>
      <w:r>
        <w:rPr>
          <w:b/>
          <w:bCs/>
        </w:rPr>
        <w:t xml:space="preserve"> ,</w:t>
      </w:r>
      <w:r>
        <w:rPr>
          <w:b/>
          <w:bCs/>
          <w:lang w:val="sr-RS"/>
        </w:rPr>
        <w:t xml:space="preserve">72/19 </w:t>
      </w:r>
      <w:r>
        <w:rPr>
          <w:b/>
          <w:bCs/>
          <w:lang w:val="sr-RS"/>
        </w:rPr>
        <w:t>и 149/20</w:t>
      </w:r>
      <w:r>
        <w:rPr>
          <w:b/>
          <w:bCs/>
          <w:lang w:val="sr-RS"/>
        </w:rPr>
        <w:t>)</w:t>
      </w:r>
      <w:r>
        <w:rPr/>
        <w:t xml:space="preserve"> </w:t>
      </w:r>
      <w:r>
        <w:rPr>
          <w:lang w:val="sr-RS"/>
        </w:rPr>
        <w:t>Министар финансија донос</w:t>
      </w:r>
      <w:r>
        <w:rPr/>
        <w:t xml:space="preserve">и </w:t>
      </w:r>
      <w:r>
        <w:rPr>
          <w:lang w:val="sr-RS"/>
        </w:rPr>
        <w:t>Упутство з</w:t>
      </w:r>
      <w:r>
        <w:rPr/>
        <w:t xml:space="preserve">а </w:t>
      </w:r>
      <w:r>
        <w:rPr>
          <w:lang w:val="sr-RS"/>
        </w:rPr>
        <w:t>припрем</w:t>
      </w:r>
      <w:r>
        <w:rPr/>
        <w:t xml:space="preserve">у </w:t>
      </w:r>
      <w:r>
        <w:rPr>
          <w:lang w:val="sr-RS"/>
        </w:rPr>
        <w:t>Одлук</w:t>
      </w:r>
      <w:r>
        <w:rPr/>
        <w:t xml:space="preserve">е о </w:t>
      </w:r>
      <w:r>
        <w:rPr>
          <w:lang w:val="sr-RS"/>
        </w:rPr>
        <w:t>буџету локалне</w:t>
      </w:r>
      <w:r>
        <w:rPr/>
        <w:t xml:space="preserve"> </w:t>
      </w:r>
      <w:r>
        <w:rPr>
          <w:lang w:val="sr-RS"/>
        </w:rPr>
        <w:t>власти за 202</w:t>
      </w:r>
      <w:r>
        <w:rPr>
          <w:lang w:val="sr-RS"/>
        </w:rPr>
        <w:t>2</w:t>
      </w:r>
      <w:r>
        <w:rPr/>
        <w:t xml:space="preserve">. </w:t>
      </w:r>
      <w:r>
        <w:rPr>
          <w:lang w:val="sr-RS"/>
        </w:rPr>
        <w:t>годину и пројекцијама</w:t>
      </w:r>
      <w:r>
        <w:rPr/>
        <w:t xml:space="preserve"> </w:t>
      </w:r>
      <w:r>
        <w:rPr>
          <w:lang w:val="sr-RS"/>
        </w:rPr>
        <w:t>за 202</w:t>
      </w:r>
      <w:r>
        <w:rPr>
          <w:lang w:val="sr-RS"/>
        </w:rPr>
        <w:t>3</w:t>
      </w:r>
      <w:r>
        <w:rPr>
          <w:lang w:val="sr-RS"/>
        </w:rPr>
        <w:t>. и 2</w:t>
      </w:r>
      <w:r>
        <w:rPr/>
        <w:t>0</w:t>
      </w:r>
      <w:r>
        <w:rPr>
          <w:lang w:val="sr-RS"/>
        </w:rPr>
        <w:t>2</w:t>
      </w:r>
      <w:r>
        <w:rPr>
          <w:lang w:val="sr-RS"/>
        </w:rPr>
        <w:t>4</w:t>
      </w:r>
      <w:r>
        <w:rPr>
          <w:lang w:val="sr-RS"/>
        </w:rPr>
        <w:t>.годину.</w:t>
      </w:r>
    </w:p>
    <w:p>
      <w:pPr>
        <w:pStyle w:val="NoSpacing"/>
        <w:ind w:firstLine="720"/>
        <w:rPr/>
      </w:pPr>
      <w:r>
        <w:rPr/>
        <w:t>У складу са чланом 36а Закона о буџетском систему , на основу овог упутства , директни корисници средстава буџета локалне власти припремају предлог финансијског плана за 202</w:t>
      </w:r>
      <w:r>
        <w:rPr>
          <w:lang w:val="sr-RS"/>
        </w:rPr>
        <w:t>2</w:t>
      </w:r>
      <w:r>
        <w:rPr/>
        <w:t>. годину, са пројекцијама за 202</w:t>
      </w:r>
      <w:r>
        <w:rPr>
          <w:lang w:val="sr-RS"/>
        </w:rPr>
        <w:t>3</w:t>
      </w:r>
      <w:r>
        <w:rPr/>
        <w:t>. и 202</w:t>
      </w:r>
      <w:r>
        <w:rPr>
          <w:lang w:val="sr-RS"/>
        </w:rPr>
        <w:t>4</w:t>
      </w:r>
      <w:r>
        <w:rPr/>
        <w:t>. годину и достављају га локалном органу управе надлежном за финансије.</w:t>
      </w:r>
    </w:p>
    <w:p>
      <w:pPr>
        <w:pStyle w:val="NoSpacing"/>
        <w:widowControl/>
        <w:bidi w:val="0"/>
        <w:spacing w:lineRule="auto" w:line="240" w:before="0" w:after="0"/>
        <w:ind w:left="0" w:right="0" w:hanging="0"/>
        <w:jc w:val="left"/>
        <w:rPr/>
      </w:pPr>
      <w:r>
        <w:rPr/>
        <w:tab/>
      </w:r>
      <w:r>
        <w:rPr>
          <w:lang w:val="sr-RS"/>
        </w:rPr>
        <w:t>Унапређење буџетског процеса кроз примену програмског буџетирања представља део реформе управљања јабним финансијама којим се ставља нагласак на утврђивање приоритета и оптимизацију потрошње у циљу подстицања привредног раста и ефикасног пружања квалитетних услуга јавне управе.</w:t>
      </w:r>
    </w:p>
    <w:p>
      <w:pPr>
        <w:pStyle w:val="NoSpacing"/>
        <w:ind w:firstLine="720"/>
        <w:rPr/>
      </w:pPr>
      <w:r>
        <w:rPr/>
        <w:t xml:space="preserve">Упутство за израду програмског буџета ЈЛС , као и Анекс 5 којим је дефинисана униформна програмска структура буџета ЈЛС за израду одлуке о буџету ЈЛС за </w:t>
      </w:r>
      <w:r>
        <w:rPr>
          <w:lang w:val="sr-RS"/>
        </w:rPr>
        <w:t>202</w:t>
      </w:r>
      <w:r>
        <w:rPr>
          <w:lang w:val="sr-RS"/>
        </w:rPr>
        <w:t>2</w:t>
      </w:r>
      <w:r>
        <w:rPr>
          <w:lang w:val="sr-RS"/>
        </w:rPr>
        <w:t>. годину</w:t>
      </w:r>
      <w:r>
        <w:rPr/>
        <w:t xml:space="preserve"> и документ који садржи циљеве програма и програмских активности и листу униформних индикатора могу се наћи на сајту Министарства финансија (</w:t>
      </w:r>
      <w:hyperlink r:id="rId2">
        <w:r>
          <w:rPr>
            <w:rStyle w:val="InternetLink"/>
          </w:rPr>
          <w:t>www.mfin.gov.rs</w:t>
        </w:r>
      </w:hyperlink>
      <w:r>
        <w:rPr/>
        <w:t>).</w:t>
      </w:r>
    </w:p>
    <w:p>
      <w:pPr>
        <w:pStyle w:val="NoSpacing"/>
        <w:ind w:firstLine="720"/>
        <w:rPr/>
      </w:pPr>
      <w:r>
        <w:rPr>
          <w:lang w:val="sr-RS"/>
        </w:rPr>
        <w:t>Уколико се услед нових надлежности или специфичних околности појави потреба за отварањем нове програмске активности која није део униформне програмске структуре из Анекса 5, ЈЛС упућује захтев Министарству финансија за отварање нове програмске активности. Министарство финансија разматра поднети захтев и обавештава ЈЛС да ли је нова програмска активност одобрена или одбијена. Ако је програмска активност одобрена Министарство финансија додељује шифру програмске активности и нова програмска активност постаје саставни део униформне програмске активности из Анекса 5 . ЈЛС достављају захтеве за отварање нове програмске активности на обрасцу бр. 1. из Анекса 5.</w:t>
      </w:r>
    </w:p>
    <w:p>
      <w:pPr>
        <w:pStyle w:val="NoSpacing"/>
        <w:ind w:firstLine="720"/>
        <w:rPr>
          <w:lang w:val="sr-RS"/>
        </w:rPr>
      </w:pPr>
      <w:r>
        <w:rPr>
          <w:lang w:val="sr-RS"/>
        </w:rPr>
        <w:t>Прелазак са линијског буџета на програмски буџет, значајно је утицао на измену начина израде финансијских планова, извршење буџета као и праћење извршења буџета. Прелазак на програмски буџет, праћење извршења тог буџета, извршење ракламација, рефундација и повраћаја средстава из буџета , захтева и промену структуре елемента</w:t>
      </w:r>
      <w:r>
        <w:rPr>
          <w:b/>
          <w:bCs/>
          <w:lang w:val="sr-RS"/>
        </w:rPr>
        <w:t xml:space="preserve"> „позив на број задужења“ </w:t>
      </w:r>
      <w:r>
        <w:rPr>
          <w:b w:val="false"/>
          <w:bCs w:val="false"/>
          <w:lang w:val="sr-RS"/>
        </w:rPr>
        <w:t>на платним налозима које испостављају корисници буџетских средстава. Из наведених разлога , а ради ефикасног праћења извршења буџета јединица локалне власти у односу на донете одлуке о буџетима јединица локалне власти , извршено је мапирање програма(сваком програму је додељена словна ознака).У структури елемента „позив на број задужења“ за једнинице локалне власти налазиће се словна ознака програма у складу са следећом табелом:</w:t>
      </w:r>
    </w:p>
    <w:p>
      <w:pPr>
        <w:pStyle w:val="NoSpacing"/>
        <w:ind w:firstLine="720"/>
        <w:rPr/>
      </w:pPr>
      <w:r>
        <w:rPr/>
      </w:r>
    </w:p>
    <w:p>
      <w:pPr>
        <w:pStyle w:val="NoSpacing"/>
        <w:ind w:hanging="0"/>
        <w:rPr/>
      </w:pPr>
      <w:r>
        <w:rPr/>
      </w:r>
    </w:p>
    <w:tbl>
      <w:tblPr>
        <w:tblW w:w="9496" w:type="dxa"/>
        <w:jc w:val="left"/>
        <w:tblInd w:w="0" w:type="dxa"/>
        <w:tblCellMar>
          <w:top w:w="55" w:type="dxa"/>
          <w:left w:w="55" w:type="dxa"/>
          <w:bottom w:w="55" w:type="dxa"/>
          <w:right w:w="55" w:type="dxa"/>
        </w:tblCellMar>
      </w:tblPr>
      <w:tblGrid>
        <w:gridCol w:w="1086"/>
        <w:gridCol w:w="1436"/>
        <w:gridCol w:w="891"/>
        <w:gridCol w:w="6082"/>
      </w:tblGrid>
      <w:tr>
        <w:trPr/>
        <w:tc>
          <w:tcPr>
            <w:tcW w:w="1086" w:type="dxa"/>
            <w:tcBorders>
              <w:top w:val="single" w:sz="2" w:space="0" w:color="000000"/>
              <w:left w:val="single" w:sz="2" w:space="0" w:color="000000"/>
              <w:bottom w:val="single" w:sz="2" w:space="0" w:color="000000"/>
            </w:tcBorders>
          </w:tcPr>
          <w:p>
            <w:pPr>
              <w:pStyle w:val="TableContents"/>
              <w:spacing w:before="0" w:after="200"/>
              <w:jc w:val="center"/>
              <w:rPr>
                <w:sz w:val="16"/>
                <w:szCs w:val="16"/>
                <w:lang w:val="sr-RS"/>
              </w:rPr>
            </w:pPr>
            <w:r>
              <w:rPr>
                <w:sz w:val="16"/>
                <w:szCs w:val="16"/>
                <w:lang w:val="sr-RS"/>
              </w:rPr>
              <w:t>Словна ознака</w:t>
            </w:r>
          </w:p>
        </w:tc>
        <w:tc>
          <w:tcPr>
            <w:tcW w:w="1436" w:type="dxa"/>
            <w:tcBorders>
              <w:top w:val="single" w:sz="2" w:space="0" w:color="000000"/>
              <w:left w:val="single" w:sz="2" w:space="0" w:color="000000"/>
              <w:bottom w:val="single" w:sz="2" w:space="0" w:color="000000"/>
            </w:tcBorders>
          </w:tcPr>
          <w:p>
            <w:pPr>
              <w:pStyle w:val="TableContents"/>
              <w:spacing w:before="0" w:after="200"/>
              <w:jc w:val="center"/>
              <w:rPr>
                <w:sz w:val="16"/>
                <w:szCs w:val="16"/>
                <w:lang w:val="sr-RS"/>
              </w:rPr>
            </w:pPr>
            <w:r>
              <w:rPr>
                <w:sz w:val="16"/>
                <w:szCs w:val="16"/>
                <w:lang w:val="sr-RS"/>
              </w:rPr>
              <w:t>Програм</w:t>
            </w:r>
          </w:p>
        </w:tc>
        <w:tc>
          <w:tcPr>
            <w:tcW w:w="891" w:type="dxa"/>
            <w:tcBorders>
              <w:top w:val="single" w:sz="2" w:space="0" w:color="000000"/>
              <w:left w:val="single" w:sz="2" w:space="0" w:color="000000"/>
              <w:bottom w:val="single" w:sz="2" w:space="0" w:color="000000"/>
            </w:tcBorders>
          </w:tcPr>
          <w:p>
            <w:pPr>
              <w:pStyle w:val="TableContents"/>
              <w:spacing w:before="0" w:after="200"/>
              <w:jc w:val="center"/>
              <w:rPr>
                <w:sz w:val="16"/>
                <w:szCs w:val="16"/>
                <w:lang w:val="sr-RS"/>
              </w:rPr>
            </w:pPr>
            <w:r>
              <w:rPr>
                <w:sz w:val="16"/>
                <w:szCs w:val="16"/>
                <w:lang w:val="sr-RS"/>
              </w:rPr>
              <w:t>Шифра</w:t>
            </w:r>
          </w:p>
        </w:tc>
        <w:tc>
          <w:tcPr>
            <w:tcW w:w="6082" w:type="dxa"/>
            <w:tcBorders>
              <w:top w:val="single" w:sz="2" w:space="0" w:color="000000"/>
              <w:left w:val="single" w:sz="2" w:space="0" w:color="000000"/>
              <w:bottom w:val="single" w:sz="2" w:space="0" w:color="000000"/>
              <w:right w:val="single" w:sz="2" w:space="0" w:color="000000"/>
            </w:tcBorders>
          </w:tcPr>
          <w:p>
            <w:pPr>
              <w:pStyle w:val="TableContents"/>
              <w:spacing w:before="0" w:after="200"/>
              <w:jc w:val="center"/>
              <w:rPr>
                <w:sz w:val="16"/>
                <w:szCs w:val="16"/>
                <w:lang w:val="sr-RS"/>
              </w:rPr>
            </w:pPr>
            <w:r>
              <w:rPr>
                <w:sz w:val="16"/>
                <w:szCs w:val="16"/>
                <w:lang w:val="sr-RS"/>
              </w:rPr>
              <w:t>Назив</w:t>
            </w:r>
          </w:p>
        </w:tc>
      </w:tr>
      <w:tr>
        <w:trPr>
          <w:trHeight w:val="439" w:hRule="atLeast"/>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A</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1101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СТАНОВАЊЕ, УРБАНИЗАН И ПРОСТОРНО ПЛАНИРАЊЕ</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B</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2</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1102</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КОМУНАЛНЕ ДЕЛАТНОСТИ</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V</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3</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1501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ЛОКАЛНИ ЕКОНОМСКИ РАЗВОЈ</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G</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4</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1502</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РАЗВОЈ ТУРИЗМА</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D</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5</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0101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ПОЉОПРИВРЕДА И РУРАЛНИ РАЗВОЈ</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E</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6</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0401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ЗАШТИТА ЖИВОТНЕ СРЕДИНЕ</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Z</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7</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0701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ОРГАНИЗАЦИЈА САОБРАЋАЈА И САОБРАЋАЈНА ИНФРАСТРУКТУРА</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I</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8</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2001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ПРЕДШКОЛСКО ОБРАЗОВАЊЕ И ВАСПИТАЊЕ</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J</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9</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2002</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ОСНОВНО ОБРАЗОВАЊЕ И ВАСПИТАЊЕ</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K</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10</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2003</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СРЕДЊЕ ОБРАЗОВАЊЕ И ВАСПИТАЊЕ</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L</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11</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0901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СОЦИЈАЛНА И ДЕЧИЈА ЗАШТИТА</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M</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12</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1801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ЗДРАВСТВЕНА ЗАШТИТА</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N</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13</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1201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РАЗВОЈ КУЛТУРЕ И ИНФОРМИСАЊА</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O</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14</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1301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РАЗВОЈ СПОРТА И ОМЛАДИНЕ</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P</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15</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0602</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ОПШТЕ УСЛУГЕ ЛОКАЛНЕ САМОУПРАВЕ</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R</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16</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2101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ПОЛИТИЧКИ СИСТЕМ ЛОКАЛНЕ САМОУПРАВЕ</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S</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17</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0501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ЕНЕРГЕТСКА ЕФИКАСНОСТ И ОБНОВЉИВИ ИЗВОРИ ЕНЕРГИЈЕ</w:t>
            </w:r>
          </w:p>
        </w:tc>
      </w:tr>
    </w:tbl>
    <w:p>
      <w:pPr>
        <w:pStyle w:val="NoSpacing"/>
        <w:ind w:firstLine="720"/>
        <w:rPr/>
      </w:pPr>
      <w:r>
        <w:rPr/>
      </w:r>
    </w:p>
    <w:p>
      <w:pPr>
        <w:pStyle w:val="NoSpacing"/>
        <w:ind w:firstLine="720"/>
        <w:rPr/>
      </w:pPr>
      <w:r>
        <w:rPr>
          <w:lang w:val="sr-RS"/>
        </w:rPr>
        <w:t xml:space="preserve">Услед настале ситуације везане за пандемију заразне болести </w:t>
      </w:r>
      <w:r>
        <w:rPr>
          <w:b/>
          <w:bCs/>
          <w:lang w:val="sr-Latn-RS"/>
        </w:rPr>
        <w:t xml:space="preserve">COVID- 19 </w:t>
      </w:r>
      <w:r>
        <w:rPr>
          <w:lang w:val="sr-Latn-RS"/>
        </w:rPr>
        <w:t>, Министарство</w:t>
      </w:r>
      <w:r>
        <w:rPr>
          <w:lang w:val="sr-RS"/>
        </w:rPr>
        <w:t xml:space="preserve"> финансија даје препоруку ЈЛС да приликом припремања одлука о буџету имају у виду финансирање свих мера из своје надлежности које су неопходне за спречавање појаве ширења и сузбијања ове заразне болести, као и да приликом планирања расхода изврше распоред средстава у односу на обавезе чије измирење је приоритетно.</w:t>
      </w:r>
    </w:p>
    <w:p>
      <w:pPr>
        <w:pStyle w:val="NoSpacing"/>
        <w:ind w:firstLine="720"/>
        <w:rPr/>
      </w:pPr>
      <w:r>
        <w:rPr/>
        <w:t>Полазећи од одредаба Закона о буџетском систему , којима је дефинисано да одлука о буџету ЈЛС треба да буде креирана уз поштовање све четири класификације које сачињавају стандардни класификациони оквир за буџетски систем , према изворима финансирања , посебно указујемо на неопходност поштовања одредаба члана 2. тач. 7) и 8) Закона о буџетском систему којима су дефинисани директни и индиректни корисници буџетских средстава.</w:t>
      </w:r>
    </w:p>
    <w:p>
      <w:pPr>
        <w:pStyle w:val="NoSpacing"/>
        <w:ind w:firstLine="720"/>
        <w:rPr/>
      </w:pPr>
      <w:r>
        <w:rPr/>
        <w:t>Оснивање корисника буџетских средстава мора да има утемељење у закону или другом пропису, у супротном сматраће се да није доследно спроведена одредба члана 2. тач. 7) и 8) Закона о буџетском систему, којима је дефинисан појам директних и индиректних корисника буџетских средстава.</w:t>
      </w:r>
    </w:p>
    <w:p>
      <w:pPr>
        <w:pStyle w:val="NoSpacing"/>
        <w:ind w:firstLine="720"/>
        <w:rPr/>
      </w:pPr>
      <w:r>
        <w:rPr/>
        <w:t xml:space="preserve">У контексту исказивања установа као индиректних корисника буџетских средстава у одлуци о буџету , </w:t>
      </w:r>
      <w:r>
        <w:rPr>
          <w:b/>
          <w:bCs/>
        </w:rPr>
        <w:t xml:space="preserve">не могу се спајати установе </w:t>
      </w:r>
      <w:r>
        <w:rPr/>
        <w:t xml:space="preserve">које обављају различите делатности имајући у виду да су делатности које обављају ове установе уређене различитим прописима, као и да се коефицијенти и други елементи за обрачун и исплату плата запослених у установама утврђују у зависности од врсте делатности установе. </w:t>
      </w:r>
    </w:p>
    <w:p>
      <w:pPr>
        <w:pStyle w:val="NoSpacing"/>
        <w:ind w:firstLine="720"/>
        <w:rPr/>
      </w:pPr>
      <w:r>
        <w:rPr/>
        <w:t>Такође, у складу са чланом 2. тачка 31) Закона о буџетском систему апропријације за индиректне кориснике буџетских средстава исказују се збирно по врстама индиректних корисника и наменама у оквиру раздела директног корисника који је, у буџетском смислу, одговоран за те индиректне кориснике буџетских средстава.</w:t>
      </w:r>
    </w:p>
    <w:p>
      <w:pPr>
        <w:pStyle w:val="NoSpacing"/>
        <w:ind w:firstLine="720"/>
        <w:rPr/>
      </w:pPr>
      <w:r>
        <w:rPr/>
        <w:t xml:space="preserve">С обзиром на то да је законодавац оставио могућност да установе до даљњег  могу да користе сопствене приходе у складу са законом, </w:t>
      </w:r>
      <w:r>
        <w:rPr>
          <w:b/>
          <w:bCs/>
        </w:rPr>
        <w:t xml:space="preserve">надлежни орган треба да преиспита основаност и оправданост постојања рачуна сопствених прихода индиректних корисника буџетских средстава </w:t>
      </w:r>
      <w:r>
        <w:rPr/>
        <w:t xml:space="preserve"> у случају када коришћење и расподела тих прихода није уређена посебним законима. Уколико буџетски корисник остварује сопствене приходе , у складу са посебним законима, надлежни орган локалне власти дужан је да води рачуна да тај корисник извршава расходе и издатке првенствено из тог и других извора, па тек из извора 01-Приходи из буџета.</w:t>
      </w:r>
    </w:p>
    <w:p>
      <w:pPr>
        <w:pStyle w:val="NoSpacing"/>
        <w:ind w:firstLine="720"/>
        <w:rPr/>
      </w:pPr>
      <w:r>
        <w:rPr/>
        <w:t>Јавне приходе остварене по основу пружања услуга боравка деце у предшколским установама треба планирати на извору 01-Приходи из буџета. Како би предшколске установе могле да прате остварење ових прихода , односно извршавање обавеза родитеља по том основу, потребно је да надлежни орган ЈЛС изводе о оствареним уплатама овог прихода достављају предшколским  установама. Уколико ЈЛС поступе по наведеним препорукама , а при том у Табели 1 (Прилог 1) искажу средства за плате запослених у предшколским установама на извору 04-Сопствени приходи буџетских корисника, неопходно је да у образложењу одлуке о буџету наведу правни основ за планирање наведених расхода са тим извором финансирања.</w:t>
      </w:r>
    </w:p>
    <w:p>
      <w:pPr>
        <w:pStyle w:val="NoSpacing"/>
        <w:ind w:firstLine="720"/>
        <w:rPr>
          <w:lang w:val="sr-RS"/>
        </w:rPr>
      </w:pPr>
      <w:r>
        <w:rPr>
          <w:lang w:val="sr-RS"/>
        </w:rPr>
      </w:r>
    </w:p>
    <w:p>
      <w:pPr>
        <w:pStyle w:val="NoSpacing"/>
        <w:ind w:firstLine="720"/>
        <w:rPr/>
      </w:pPr>
      <w:r>
        <w:rPr/>
        <w:t xml:space="preserve">Израда </w:t>
      </w:r>
      <w:r>
        <w:rPr>
          <w:b/>
          <w:bCs/>
        </w:rPr>
        <w:t xml:space="preserve">грађанског буџета </w:t>
      </w:r>
      <w:r>
        <w:rPr/>
        <w:t>, као инструмента за повећање транспарентног исказивања на који начин и у које сврхе се користе јавна средства, представља својеврсан водич за грађане којима треба да се приближе надлежности и начин финансирања послова који се обављају у општини. У циљу информисања и појашњења , потребно је да локална власт на једноставан и разумљив начин прикаже свој буџет грађанима са информацијама о буџетским приходима и примањима, расходима и издацима, изворима финансирања , буџетским корисницима и објави га на својој интернет страници.</w:t>
      </w:r>
    </w:p>
    <w:p>
      <w:pPr>
        <w:pStyle w:val="NoSpacing"/>
        <w:ind w:firstLine="720"/>
        <w:rPr/>
      </w:pPr>
      <w:r>
        <w:rPr/>
        <w:t xml:space="preserve">У поступку припреме и доношења буџета , треба планирати расходе за реализацију мера и активности утврђених посебним законима , у оквиру одређених програма, програмских активности, односно пројеката, с тим што се </w:t>
      </w:r>
      <w:r>
        <w:rPr>
          <w:b/>
          <w:bCs/>
        </w:rPr>
        <w:t>исти могу извршавати само до висине апропријације утврђене одлуком о буџету , без обзира на то да ли су ови приходи остварени у већем или мањем обиму од планираног.</w:t>
      </w:r>
    </w:p>
    <w:p>
      <w:pPr>
        <w:pStyle w:val="NoSpacing"/>
        <w:ind w:firstLine="720"/>
        <w:rPr/>
      </w:pPr>
      <w:r>
        <w:rPr/>
        <w:t>Уколико се у току године остваре приходи  који представљају опште приходе буџета и који немају предходно утврђену намену у обиму већем од планираног актом у буџету, исти се могу користити и за извршавање других врста расхода.</w:t>
      </w:r>
    </w:p>
    <w:p>
      <w:pPr>
        <w:pStyle w:val="NoSpacing"/>
        <w:ind w:firstLine="720"/>
        <w:rPr/>
      </w:pPr>
      <w:r>
        <w:rPr/>
        <w:t xml:space="preserve">У циљу што ефикаснијег спровођења фискалне политике , Законом су утврђена и фискална правила за локалну власт , односно ограничење у погледу висине стварања фискалног дефицита, који може настати само као резултат јавних инвестиција  и </w:t>
      </w:r>
      <w:r>
        <w:rPr>
          <w:b/>
          <w:bCs/>
        </w:rPr>
        <w:t>не може</w:t>
      </w:r>
      <w:r>
        <w:rPr/>
        <w:t xml:space="preserve"> бити већи од 10% прихода у тој години. </w:t>
      </w:r>
    </w:p>
    <w:p>
      <w:pPr>
        <w:pStyle w:val="NoSpacing"/>
        <w:rPr/>
      </w:pPr>
      <w:r>
        <w:rPr/>
      </w:r>
    </w:p>
    <w:p>
      <w:pPr>
        <w:pStyle w:val="NoSpacing"/>
        <w:rPr/>
      </w:pPr>
      <w:r>
        <w:rPr/>
      </w:r>
    </w:p>
    <w:p>
      <w:pPr>
        <w:pStyle w:val="NoSpacing"/>
        <w:rPr/>
      </w:pPr>
      <w:r>
        <w:rPr/>
      </w:r>
    </w:p>
    <w:p>
      <w:pPr>
        <w:pStyle w:val="Normal"/>
        <w:ind w:left="720" w:hanging="0"/>
        <w:rPr>
          <w:b/>
          <w:b/>
        </w:rPr>
      </w:pPr>
      <w:r>
        <w:rPr>
          <w:b/>
        </w:rPr>
        <w:t>I ОСНОВНЕ ЕКОНОМСКЕ ПРЕТПОСТАВКЕ И СМЕРНИЦЕ ЗА ПРИПРЕМУ НАЦРТА БУЏЕТА ОПШТИНЕ ЋИЋЕВАЦ ЗА 202</w:t>
      </w:r>
      <w:r>
        <w:rPr>
          <w:b/>
          <w:lang w:val="sr-RS"/>
        </w:rPr>
        <w:t>2</w:t>
      </w:r>
      <w:r>
        <w:rPr>
          <w:b/>
        </w:rPr>
        <w:t xml:space="preserve">. ГОДИНУ </w:t>
      </w:r>
    </w:p>
    <w:p>
      <w:pPr>
        <w:pStyle w:val="Normal"/>
        <w:ind w:firstLine="720"/>
        <w:rPr>
          <w:b/>
          <w:b/>
        </w:rPr>
      </w:pPr>
      <w:r>
        <w:rPr>
          <w:b/>
        </w:rPr>
      </w:r>
    </w:p>
    <w:p>
      <w:pPr>
        <w:pStyle w:val="Normal"/>
        <w:ind w:firstLine="720"/>
        <w:rPr/>
      </w:pPr>
      <w:r>
        <w:rPr>
          <w:b/>
          <w:bCs/>
        </w:rPr>
        <w:t>Основне макроекономске претпоставке за  202</w:t>
      </w:r>
      <w:r>
        <w:rPr>
          <w:b/>
          <w:bCs/>
          <w:lang w:val="sr-RS"/>
        </w:rPr>
        <w:t>2</w:t>
      </w:r>
      <w:r>
        <w:rPr>
          <w:b/>
          <w:bCs/>
        </w:rPr>
        <w:t xml:space="preserve">. године  </w:t>
      </w:r>
    </w:p>
    <w:tbl>
      <w:tblPr>
        <w:tblW w:w="9496" w:type="dxa"/>
        <w:jc w:val="left"/>
        <w:tblInd w:w="0" w:type="dxa"/>
        <w:tblCellMar>
          <w:top w:w="55" w:type="dxa"/>
          <w:left w:w="55" w:type="dxa"/>
          <w:bottom w:w="55" w:type="dxa"/>
          <w:right w:w="55" w:type="dxa"/>
        </w:tblCellMar>
      </w:tblPr>
      <w:tblGrid>
        <w:gridCol w:w="3165"/>
        <w:gridCol w:w="3165"/>
        <w:gridCol w:w="3166"/>
      </w:tblGrid>
      <w:tr>
        <w:trPr/>
        <w:tc>
          <w:tcPr>
            <w:tcW w:w="3165" w:type="dxa"/>
            <w:tcBorders>
              <w:top w:val="single" w:sz="2" w:space="0" w:color="000000"/>
              <w:left w:val="single" w:sz="2" w:space="0" w:color="000000"/>
              <w:bottom w:val="single" w:sz="2" w:space="0" w:color="000000"/>
            </w:tcBorders>
          </w:tcPr>
          <w:p>
            <w:pPr>
              <w:pStyle w:val="TableContents"/>
              <w:spacing w:before="0" w:after="200"/>
              <w:rPr>
                <w:sz w:val="18"/>
                <w:szCs w:val="18"/>
              </w:rPr>
            </w:pPr>
            <w:r>
              <w:rPr>
                <w:sz w:val="18"/>
                <w:szCs w:val="18"/>
              </w:rPr>
            </w:r>
          </w:p>
        </w:tc>
        <w:tc>
          <w:tcPr>
            <w:tcW w:w="3165" w:type="dxa"/>
            <w:tcBorders>
              <w:top w:val="single" w:sz="2" w:space="0" w:color="000000"/>
              <w:left w:val="single" w:sz="2" w:space="0" w:color="000000"/>
              <w:bottom w:val="single" w:sz="2" w:space="0" w:color="000000"/>
            </w:tcBorders>
          </w:tcPr>
          <w:p>
            <w:pPr>
              <w:pStyle w:val="TableContents"/>
              <w:spacing w:before="0" w:after="200"/>
              <w:jc w:val="center"/>
              <w:rPr>
                <w:b/>
                <w:b/>
                <w:bCs/>
                <w:sz w:val="20"/>
                <w:szCs w:val="20"/>
                <w:lang w:val="sr-RS"/>
              </w:rPr>
            </w:pPr>
            <w:r>
              <w:rPr>
                <w:b/>
                <w:bCs/>
                <w:sz w:val="18"/>
                <w:szCs w:val="18"/>
                <w:lang w:val="sr-RS"/>
              </w:rPr>
              <w:t>202</w:t>
            </w:r>
            <w:r>
              <w:rPr>
                <w:b/>
                <w:bCs/>
                <w:sz w:val="18"/>
                <w:szCs w:val="18"/>
                <w:lang w:val="sr-RS"/>
              </w:rPr>
              <w:t>1</w:t>
            </w:r>
            <w:r>
              <w:rPr>
                <w:b/>
                <w:bCs/>
                <w:sz w:val="18"/>
                <w:szCs w:val="18"/>
                <w:lang w:val="sr-RS"/>
              </w:rPr>
              <w:t>.</w:t>
            </w:r>
          </w:p>
        </w:tc>
        <w:tc>
          <w:tcPr>
            <w:tcW w:w="3166" w:type="dxa"/>
            <w:tcBorders>
              <w:top w:val="single" w:sz="2" w:space="0" w:color="000000"/>
              <w:left w:val="single" w:sz="2" w:space="0" w:color="000000"/>
              <w:bottom w:val="single" w:sz="2" w:space="0" w:color="000000"/>
              <w:right w:val="single" w:sz="2" w:space="0" w:color="000000"/>
            </w:tcBorders>
          </w:tcPr>
          <w:p>
            <w:pPr>
              <w:pStyle w:val="TableContents"/>
              <w:spacing w:before="0" w:after="200"/>
              <w:jc w:val="center"/>
              <w:rPr>
                <w:b/>
                <w:b/>
                <w:bCs/>
                <w:sz w:val="20"/>
                <w:szCs w:val="20"/>
                <w:lang w:val="sr-RS"/>
              </w:rPr>
            </w:pPr>
            <w:r>
              <w:rPr>
                <w:b/>
                <w:bCs/>
                <w:sz w:val="18"/>
                <w:szCs w:val="18"/>
                <w:lang w:val="sr-RS"/>
              </w:rPr>
              <w:t>202</w:t>
            </w:r>
            <w:r>
              <w:rPr>
                <w:b/>
                <w:bCs/>
                <w:sz w:val="18"/>
                <w:szCs w:val="18"/>
                <w:lang w:val="sr-RS"/>
              </w:rPr>
              <w:t>2</w:t>
            </w:r>
            <w:r>
              <w:rPr>
                <w:b/>
                <w:bCs/>
                <w:sz w:val="18"/>
                <w:szCs w:val="18"/>
                <w:lang w:val="sr-RS"/>
              </w:rPr>
              <w:t>.</w:t>
            </w:r>
          </w:p>
        </w:tc>
      </w:tr>
      <w:tr>
        <w:trPr/>
        <w:tc>
          <w:tcPr>
            <w:tcW w:w="3165" w:type="dxa"/>
            <w:tcBorders>
              <w:left w:val="single" w:sz="2" w:space="0" w:color="000000"/>
              <w:bottom w:val="single" w:sz="2" w:space="0" w:color="000000"/>
            </w:tcBorders>
          </w:tcPr>
          <w:p>
            <w:pPr>
              <w:pStyle w:val="TableContents"/>
              <w:spacing w:before="0" w:after="200"/>
              <w:rPr>
                <w:sz w:val="18"/>
                <w:szCs w:val="18"/>
                <w:lang w:val="sr-RS"/>
              </w:rPr>
            </w:pPr>
            <w:r>
              <w:rPr>
                <w:sz w:val="18"/>
                <w:szCs w:val="18"/>
                <w:lang w:val="sr-RS"/>
              </w:rPr>
              <w:t>БДП, млрд РСД</w:t>
            </w:r>
          </w:p>
        </w:tc>
        <w:tc>
          <w:tcPr>
            <w:tcW w:w="3165" w:type="dxa"/>
            <w:tcBorders>
              <w:left w:val="single" w:sz="2" w:space="0" w:color="000000"/>
              <w:bottom w:val="single" w:sz="2" w:space="0" w:color="000000"/>
            </w:tcBorders>
          </w:tcPr>
          <w:p>
            <w:pPr>
              <w:pStyle w:val="TableContents"/>
              <w:spacing w:before="0" w:after="200"/>
              <w:jc w:val="center"/>
              <w:rPr>
                <w:sz w:val="18"/>
                <w:szCs w:val="18"/>
                <w:lang w:val="sr-RS"/>
              </w:rPr>
            </w:pPr>
            <w:r>
              <w:rPr>
                <w:rFonts w:eastAsia="Calibri" w:cs="" w:cstheme="minorBidi" w:eastAsiaTheme="minorHAnsi"/>
                <w:color w:val="auto"/>
                <w:kern w:val="0"/>
                <w:sz w:val="18"/>
                <w:szCs w:val="18"/>
                <w:lang w:val="sr-RS" w:eastAsia="en-US" w:bidi="ar-SA"/>
              </w:rPr>
              <w:t>5938,1</w:t>
            </w:r>
          </w:p>
        </w:tc>
        <w:tc>
          <w:tcPr>
            <w:tcW w:w="3166" w:type="dxa"/>
            <w:tcBorders>
              <w:left w:val="single" w:sz="2" w:space="0" w:color="000000"/>
              <w:bottom w:val="single" w:sz="2" w:space="0" w:color="000000"/>
              <w:right w:val="single" w:sz="2" w:space="0" w:color="000000"/>
            </w:tcBorders>
          </w:tcPr>
          <w:p>
            <w:pPr>
              <w:pStyle w:val="TableContents"/>
              <w:spacing w:before="0" w:after="200"/>
              <w:jc w:val="center"/>
              <w:rPr>
                <w:sz w:val="18"/>
                <w:szCs w:val="18"/>
                <w:lang w:val="sr-RS"/>
              </w:rPr>
            </w:pPr>
            <w:r>
              <w:rPr>
                <w:rFonts w:eastAsia="Calibri" w:cs="" w:cstheme="minorBidi" w:eastAsiaTheme="minorHAnsi"/>
                <w:color w:val="auto"/>
                <w:kern w:val="0"/>
                <w:sz w:val="18"/>
                <w:szCs w:val="18"/>
                <w:lang w:val="sr-RS" w:eastAsia="en-US" w:bidi="ar-SA"/>
              </w:rPr>
              <w:t>6342,1</w:t>
            </w:r>
          </w:p>
        </w:tc>
      </w:tr>
      <w:tr>
        <w:trPr/>
        <w:tc>
          <w:tcPr>
            <w:tcW w:w="3165" w:type="dxa"/>
            <w:tcBorders>
              <w:left w:val="single" w:sz="2" w:space="0" w:color="000000"/>
              <w:bottom w:val="single" w:sz="2" w:space="0" w:color="000000"/>
            </w:tcBorders>
          </w:tcPr>
          <w:p>
            <w:pPr>
              <w:pStyle w:val="TableContents"/>
              <w:spacing w:before="0" w:after="200"/>
              <w:rPr>
                <w:sz w:val="18"/>
                <w:szCs w:val="18"/>
                <w:lang w:val="sr-RS"/>
              </w:rPr>
            </w:pPr>
            <w:r>
              <w:rPr>
                <w:sz w:val="18"/>
                <w:szCs w:val="18"/>
                <w:lang w:val="sr-RS"/>
              </w:rPr>
              <w:t>Стопа номиналног раста БДП, %</w:t>
            </w:r>
          </w:p>
        </w:tc>
        <w:tc>
          <w:tcPr>
            <w:tcW w:w="3165" w:type="dxa"/>
            <w:tcBorders>
              <w:left w:val="single" w:sz="2" w:space="0" w:color="000000"/>
              <w:bottom w:val="single" w:sz="2" w:space="0" w:color="000000"/>
            </w:tcBorders>
          </w:tcPr>
          <w:p>
            <w:pPr>
              <w:pStyle w:val="TableContents"/>
              <w:spacing w:before="0" w:after="200"/>
              <w:jc w:val="center"/>
              <w:rPr>
                <w:sz w:val="18"/>
                <w:szCs w:val="18"/>
                <w:lang w:val="sr-RS"/>
              </w:rPr>
            </w:pPr>
            <w:r>
              <w:rPr>
                <w:rFonts w:eastAsia="Calibri" w:cs="" w:cstheme="minorBidi" w:eastAsiaTheme="minorHAnsi"/>
                <w:color w:val="auto"/>
                <w:kern w:val="0"/>
                <w:sz w:val="18"/>
                <w:szCs w:val="18"/>
                <w:lang w:val="sr-RS" w:eastAsia="en-US" w:bidi="ar-SA"/>
              </w:rPr>
              <w:t>8,7</w:t>
            </w:r>
          </w:p>
        </w:tc>
        <w:tc>
          <w:tcPr>
            <w:tcW w:w="3166" w:type="dxa"/>
            <w:tcBorders>
              <w:left w:val="single" w:sz="2" w:space="0" w:color="000000"/>
              <w:bottom w:val="single" w:sz="2" w:space="0" w:color="000000"/>
              <w:right w:val="single" w:sz="2" w:space="0" w:color="000000"/>
            </w:tcBorders>
          </w:tcPr>
          <w:p>
            <w:pPr>
              <w:pStyle w:val="TableContents"/>
              <w:spacing w:before="0" w:after="200"/>
              <w:jc w:val="center"/>
              <w:rPr>
                <w:sz w:val="18"/>
                <w:szCs w:val="18"/>
                <w:lang w:val="sr-RS"/>
              </w:rPr>
            </w:pPr>
            <w:r>
              <w:rPr>
                <w:sz w:val="18"/>
                <w:szCs w:val="18"/>
                <w:lang w:val="sr-RS"/>
              </w:rPr>
              <w:t>6</w:t>
            </w:r>
            <w:r>
              <w:rPr>
                <w:sz w:val="18"/>
                <w:szCs w:val="18"/>
                <w:lang w:val="sr-RS"/>
              </w:rPr>
              <w:t>,8</w:t>
            </w:r>
          </w:p>
        </w:tc>
      </w:tr>
      <w:tr>
        <w:trPr/>
        <w:tc>
          <w:tcPr>
            <w:tcW w:w="3165" w:type="dxa"/>
            <w:tcBorders>
              <w:left w:val="single" w:sz="2" w:space="0" w:color="000000"/>
              <w:bottom w:val="single" w:sz="2" w:space="0" w:color="000000"/>
            </w:tcBorders>
          </w:tcPr>
          <w:p>
            <w:pPr>
              <w:pStyle w:val="TableContents"/>
              <w:spacing w:before="0" w:after="200"/>
              <w:rPr>
                <w:sz w:val="18"/>
                <w:szCs w:val="18"/>
                <w:lang w:val="sr-RS"/>
              </w:rPr>
            </w:pPr>
            <w:r>
              <w:rPr>
                <w:sz w:val="18"/>
                <w:szCs w:val="18"/>
                <w:lang w:val="sr-RS"/>
              </w:rPr>
              <w:t>Стопе реалног раста БДП, %</w:t>
            </w:r>
          </w:p>
        </w:tc>
        <w:tc>
          <w:tcPr>
            <w:tcW w:w="3165" w:type="dxa"/>
            <w:tcBorders>
              <w:left w:val="single" w:sz="2" w:space="0" w:color="000000"/>
              <w:bottom w:val="single" w:sz="2" w:space="0" w:color="000000"/>
            </w:tcBorders>
          </w:tcPr>
          <w:p>
            <w:pPr>
              <w:pStyle w:val="TableContents"/>
              <w:spacing w:before="0" w:after="200"/>
              <w:jc w:val="center"/>
              <w:rPr>
                <w:sz w:val="18"/>
                <w:szCs w:val="18"/>
              </w:rPr>
            </w:pPr>
            <w:r>
              <w:rPr>
                <w:rFonts w:eastAsia="Calibri" w:cs="" w:cstheme="minorBidi" w:eastAsiaTheme="minorHAnsi"/>
                <w:color w:val="auto"/>
                <w:kern w:val="0"/>
                <w:sz w:val="18"/>
                <w:szCs w:val="18"/>
                <w:lang w:val="sr-RS" w:eastAsia="en-US" w:bidi="ar-SA"/>
              </w:rPr>
              <w:t>6,0</w:t>
            </w:r>
          </w:p>
        </w:tc>
        <w:tc>
          <w:tcPr>
            <w:tcW w:w="3166" w:type="dxa"/>
            <w:tcBorders>
              <w:left w:val="single" w:sz="2" w:space="0" w:color="000000"/>
              <w:bottom w:val="single" w:sz="2" w:space="0" w:color="000000"/>
              <w:right w:val="single" w:sz="2" w:space="0" w:color="000000"/>
            </w:tcBorders>
          </w:tcPr>
          <w:p>
            <w:pPr>
              <w:pStyle w:val="TableContents"/>
              <w:spacing w:before="0" w:after="200"/>
              <w:jc w:val="center"/>
              <w:rPr>
                <w:sz w:val="18"/>
                <w:szCs w:val="18"/>
                <w:lang w:val="sr-RS"/>
              </w:rPr>
            </w:pPr>
            <w:r>
              <w:rPr>
                <w:sz w:val="18"/>
                <w:szCs w:val="18"/>
                <w:lang w:val="sr-RS"/>
              </w:rPr>
              <w:t>4</w:t>
            </w:r>
            <w:r>
              <w:rPr>
                <w:sz w:val="18"/>
                <w:szCs w:val="18"/>
                <w:lang w:val="sr-RS"/>
              </w:rPr>
              <w:t>,0</w:t>
            </w:r>
          </w:p>
        </w:tc>
      </w:tr>
      <w:tr>
        <w:trPr/>
        <w:tc>
          <w:tcPr>
            <w:tcW w:w="3165" w:type="dxa"/>
            <w:tcBorders>
              <w:left w:val="single" w:sz="2" w:space="0" w:color="000000"/>
              <w:bottom w:val="single" w:sz="2" w:space="0" w:color="000000"/>
            </w:tcBorders>
          </w:tcPr>
          <w:p>
            <w:pPr>
              <w:pStyle w:val="TableContents"/>
              <w:spacing w:before="0" w:after="200"/>
              <w:rPr>
                <w:sz w:val="18"/>
                <w:szCs w:val="18"/>
                <w:lang w:val="sr-RS"/>
              </w:rPr>
            </w:pPr>
            <w:r>
              <w:rPr>
                <w:sz w:val="18"/>
                <w:szCs w:val="18"/>
                <w:lang w:val="sr-RS"/>
              </w:rPr>
              <w:t>Инфлација, просек периода, %</w:t>
            </w:r>
          </w:p>
        </w:tc>
        <w:tc>
          <w:tcPr>
            <w:tcW w:w="3165" w:type="dxa"/>
            <w:tcBorders>
              <w:left w:val="single" w:sz="2" w:space="0" w:color="000000"/>
              <w:bottom w:val="single" w:sz="2" w:space="0" w:color="000000"/>
            </w:tcBorders>
          </w:tcPr>
          <w:p>
            <w:pPr>
              <w:pStyle w:val="TableContents"/>
              <w:spacing w:before="0" w:after="200"/>
              <w:jc w:val="center"/>
              <w:rPr>
                <w:sz w:val="18"/>
                <w:szCs w:val="18"/>
                <w:lang w:val="sr-RS"/>
              </w:rPr>
            </w:pPr>
            <w:r>
              <w:rPr>
                <w:rFonts w:eastAsia="Calibri" w:cs="" w:cstheme="minorBidi" w:eastAsiaTheme="minorHAnsi"/>
                <w:color w:val="auto"/>
                <w:kern w:val="0"/>
                <w:sz w:val="18"/>
                <w:szCs w:val="18"/>
                <w:lang w:val="sr-RS" w:eastAsia="en-US" w:bidi="ar-SA"/>
              </w:rPr>
              <w:t>2,6</w:t>
            </w:r>
          </w:p>
        </w:tc>
        <w:tc>
          <w:tcPr>
            <w:tcW w:w="3166" w:type="dxa"/>
            <w:tcBorders>
              <w:left w:val="single" w:sz="2" w:space="0" w:color="000000"/>
              <w:bottom w:val="single" w:sz="2" w:space="0" w:color="000000"/>
              <w:right w:val="single" w:sz="2" w:space="0" w:color="000000"/>
            </w:tcBorders>
          </w:tcPr>
          <w:p>
            <w:pPr>
              <w:pStyle w:val="TableContents"/>
              <w:spacing w:before="0" w:after="200"/>
              <w:jc w:val="center"/>
              <w:rPr>
                <w:sz w:val="18"/>
                <w:szCs w:val="18"/>
                <w:lang w:val="sr-RS"/>
              </w:rPr>
            </w:pPr>
            <w:r>
              <w:rPr>
                <w:rFonts w:eastAsia="Calibri" w:cs="" w:cstheme="minorBidi" w:eastAsiaTheme="minorHAnsi"/>
                <w:color w:val="auto"/>
                <w:kern w:val="0"/>
                <w:sz w:val="18"/>
                <w:szCs w:val="18"/>
                <w:lang w:val="sr-RS" w:eastAsia="en-US" w:bidi="ar-SA"/>
              </w:rPr>
              <w:t>2,5</w:t>
            </w:r>
          </w:p>
        </w:tc>
      </w:tr>
    </w:tbl>
    <w:p>
      <w:pPr>
        <w:pStyle w:val="Normal"/>
        <w:rPr/>
      </w:pPr>
      <w:r>
        <w:rPr/>
      </w:r>
    </w:p>
    <w:p>
      <w:pPr>
        <w:pStyle w:val="Normal"/>
        <w:ind w:firstLine="720"/>
        <w:rPr>
          <w:lang w:val="sr-RS"/>
        </w:rPr>
      </w:pPr>
      <w:r>
        <w:rPr>
          <w:b/>
          <w:bCs/>
          <w:lang w:val="sr-RS"/>
        </w:rPr>
        <w:t>Приликом планирања прихода локална власт је у обавези да исте реално планира</w:t>
      </w:r>
      <w:r>
        <w:rPr>
          <w:lang w:val="sr-RS"/>
        </w:rPr>
        <w:t xml:space="preserve"> , тј. потребно је поћи од остварења прихода за три квартала у 202</w:t>
      </w:r>
      <w:r>
        <w:rPr>
          <w:lang w:val="sr-RS"/>
        </w:rPr>
        <w:t>1</w:t>
      </w:r>
      <w:r>
        <w:rPr>
          <w:lang w:val="sr-RS"/>
        </w:rPr>
        <w:t>. години и њихове процене за задњи квартал те године, што представља основ за њихово увећање, при чему укупан раст  не сме да буде већи од номиналног раста БДП (пројектован номинални раст у 202</w:t>
      </w:r>
      <w:r>
        <w:rPr>
          <w:lang w:val="sr-RS"/>
        </w:rPr>
        <w:t>2</w:t>
      </w:r>
      <w:r>
        <w:rPr>
          <w:lang w:val="sr-RS"/>
        </w:rPr>
        <w:t xml:space="preserve">. години од </w:t>
      </w:r>
      <w:r>
        <w:rPr>
          <w:lang w:val="sr-RS"/>
        </w:rPr>
        <w:t>6</w:t>
      </w:r>
      <w:r>
        <w:rPr>
          <w:lang w:val="sr-RS"/>
        </w:rPr>
        <w:t>,8%). Изузетно, локална власт може планирати већи обим прихода , с тим што је у том случају дужна да у образложењу одлуке о буџету наведе разлоге за такво поступање, као и да образложи параметре коришћене за пројекцију таквих прихода.</w:t>
      </w:r>
    </w:p>
    <w:p>
      <w:pPr>
        <w:pStyle w:val="Normal"/>
        <w:ind w:firstLine="720"/>
        <w:rPr>
          <w:lang w:val="sr-RS"/>
        </w:rPr>
      </w:pPr>
      <w:r>
        <w:rPr>
          <w:lang w:val="sr-RS"/>
        </w:rPr>
        <w:t>Ненаменске трансфере ЈЛС треба да планирају у истом износу који је био опредељен Законом о буџету Републике Србије за 202</w:t>
      </w:r>
      <w:r>
        <w:rPr>
          <w:lang w:val="sr-RS"/>
        </w:rPr>
        <w:t>1</w:t>
      </w:r>
      <w:r>
        <w:rPr>
          <w:lang w:val="sr-RS"/>
        </w:rPr>
        <w:t xml:space="preserve">. годину („Сл. Гласник РС“, бр. </w:t>
      </w:r>
      <w:r>
        <w:rPr>
          <w:rFonts w:eastAsia="Calibri" w:cs="" w:cstheme="minorBidi" w:eastAsiaTheme="minorHAnsi"/>
          <w:color w:val="auto"/>
          <w:kern w:val="0"/>
          <w:sz w:val="22"/>
          <w:szCs w:val="22"/>
          <w:lang w:val="sr-RS" w:eastAsia="en-US" w:bidi="ar-SA"/>
        </w:rPr>
        <w:t>149/20 и 40/21</w:t>
      </w:r>
      <w:r>
        <w:rPr>
          <w:lang w:val="sr-RS"/>
        </w:rPr>
        <w:t>).</w:t>
      </w:r>
    </w:p>
    <w:p>
      <w:pPr>
        <w:pStyle w:val="Normal"/>
        <w:ind w:firstLine="720"/>
        <w:rPr>
          <w:lang w:val="sr-RS"/>
        </w:rPr>
      </w:pPr>
      <w:r>
        <w:rPr>
          <w:lang w:val="sr-RS"/>
        </w:rPr>
        <w:t>Сви јавни приходи и примања којима се финансирају надлежности локалне власти треба да буду уплаћени на рачуне прописане за уплату јавних прихода, чиме би се испоштовало уставно начело бруто принципа, а не на подрачуне корисника буџетских средстава.</w:t>
      </w:r>
    </w:p>
    <w:p>
      <w:pPr>
        <w:pStyle w:val="Normal"/>
        <w:ind w:left="720" w:hanging="0"/>
        <w:rPr>
          <w:b/>
          <w:b/>
        </w:rPr>
      </w:pPr>
      <w:r>
        <w:rPr/>
        <w:t xml:space="preserve"> </w:t>
      </w:r>
      <w:r>
        <w:rPr>
          <w:b/>
        </w:rPr>
        <w:t>СМЕРНИЦЕ ЗА ПЛАНИРАЊЕ ПОЈЕДИНИХ КАТЕГОРИЈА РАСХОДА</w:t>
      </w:r>
    </w:p>
    <w:p>
      <w:pPr>
        <w:pStyle w:val="Normal"/>
        <w:ind w:left="720" w:hanging="0"/>
        <w:rPr/>
      </w:pPr>
      <w:r>
        <w:rPr/>
        <w:t xml:space="preserve"> </w:t>
      </w:r>
      <w:r>
        <w:rPr/>
        <w:t>Група конта 41 – Расходи за запослене</w:t>
      </w:r>
    </w:p>
    <w:p>
      <w:pPr>
        <w:pStyle w:val="ListParagraph"/>
        <w:numPr>
          <w:ilvl w:val="0"/>
          <w:numId w:val="1"/>
        </w:numPr>
        <w:rPr>
          <w:b/>
          <w:b/>
        </w:rPr>
      </w:pPr>
      <w:r>
        <w:rPr>
          <w:b/>
        </w:rPr>
        <w:t xml:space="preserve">Законско уређење плата </w:t>
      </w:r>
    </w:p>
    <w:p>
      <w:pPr>
        <w:pStyle w:val="ListParagraph"/>
        <w:ind w:left="1110" w:hanging="0"/>
        <w:rPr>
          <w:b/>
          <w:b/>
        </w:rPr>
      </w:pPr>
      <w:r>
        <w:rPr>
          <w:b/>
        </w:rPr>
      </w:r>
    </w:p>
    <w:p>
      <w:pPr>
        <w:pStyle w:val="TextBody"/>
        <w:ind w:left="112" w:right="186" w:firstLine="1320"/>
        <w:rPr>
          <w:sz w:val="24"/>
        </w:rPr>
      </w:pPr>
      <w:r>
        <w:rPr/>
        <w:t>Плате</w:t>
      </w:r>
      <w:r>
        <w:rPr>
          <w:spacing w:val="1"/>
        </w:rPr>
        <w:t xml:space="preserve"> </w:t>
      </w:r>
      <w:r>
        <w:rPr/>
        <w:t>запослених</w:t>
      </w:r>
      <w:r>
        <w:rPr>
          <w:spacing w:val="1"/>
        </w:rPr>
        <w:t xml:space="preserve"> </w:t>
      </w:r>
      <w:r>
        <w:rPr/>
        <w:t>у</w:t>
      </w:r>
      <w:r>
        <w:rPr>
          <w:spacing w:val="1"/>
        </w:rPr>
        <w:t xml:space="preserve"> </w:t>
      </w:r>
      <w:r>
        <w:rPr/>
        <w:t>јавном</w:t>
      </w:r>
      <w:r>
        <w:rPr>
          <w:spacing w:val="1"/>
        </w:rPr>
        <w:t xml:space="preserve"> </w:t>
      </w:r>
      <w:r>
        <w:rPr/>
        <w:t>сектору</w:t>
      </w:r>
      <w:r>
        <w:rPr>
          <w:spacing w:val="1"/>
        </w:rPr>
        <w:t xml:space="preserve"> </w:t>
      </w:r>
      <w:r>
        <w:rPr/>
        <w:t>уређене</w:t>
      </w:r>
      <w:r>
        <w:rPr>
          <w:spacing w:val="1"/>
        </w:rPr>
        <w:t xml:space="preserve"> </w:t>
      </w:r>
      <w:r>
        <w:rPr/>
        <w:t>су</w:t>
      </w:r>
      <w:r>
        <w:rPr>
          <w:spacing w:val="1"/>
        </w:rPr>
        <w:t xml:space="preserve"> </w:t>
      </w:r>
      <w:r>
        <w:rPr/>
        <w:t>Законом</w:t>
      </w:r>
      <w:r>
        <w:rPr>
          <w:spacing w:val="1"/>
        </w:rPr>
        <w:t xml:space="preserve"> </w:t>
      </w:r>
      <w:r>
        <w:rPr/>
        <w:t>о</w:t>
      </w:r>
      <w:r>
        <w:rPr>
          <w:spacing w:val="1"/>
        </w:rPr>
        <w:t xml:space="preserve"> </w:t>
      </w:r>
      <w:r>
        <w:rPr/>
        <w:t>систему</w:t>
      </w:r>
      <w:r>
        <w:rPr>
          <w:spacing w:val="1"/>
        </w:rPr>
        <w:t xml:space="preserve"> </w:t>
      </w:r>
      <w:r>
        <w:rPr/>
        <w:t>плата</w:t>
      </w:r>
      <w:r>
        <w:rPr>
          <w:spacing w:val="1"/>
        </w:rPr>
        <w:t xml:space="preserve"> </w:t>
      </w:r>
      <w:r>
        <w:rPr/>
        <w:t>запослених</w:t>
      </w:r>
      <w:r>
        <w:rPr>
          <w:spacing w:val="1"/>
        </w:rPr>
        <w:t xml:space="preserve"> </w:t>
      </w:r>
      <w:r>
        <w:rPr/>
        <w:t>у</w:t>
      </w:r>
      <w:r>
        <w:rPr>
          <w:spacing w:val="-8"/>
        </w:rPr>
        <w:t xml:space="preserve"> </w:t>
      </w:r>
      <w:r>
        <w:rPr/>
        <w:t>јавном</w:t>
      </w:r>
      <w:r>
        <w:rPr>
          <w:spacing w:val="-4"/>
        </w:rPr>
        <w:t xml:space="preserve"> </w:t>
      </w:r>
      <w:r>
        <w:rPr/>
        <w:t>сектору</w:t>
      </w:r>
      <w:r>
        <w:rPr>
          <w:spacing w:val="-8"/>
        </w:rPr>
        <w:t xml:space="preserve"> </w:t>
      </w:r>
      <w:r>
        <w:rPr/>
        <w:t>(„Службени</w:t>
      </w:r>
      <w:r>
        <w:rPr>
          <w:spacing w:val="-2"/>
        </w:rPr>
        <w:t xml:space="preserve"> </w:t>
      </w:r>
      <w:r>
        <w:rPr/>
        <w:t>гласник</w:t>
      </w:r>
      <w:r>
        <w:rPr>
          <w:spacing w:val="-5"/>
        </w:rPr>
        <w:t xml:space="preserve"> </w:t>
      </w:r>
      <w:r>
        <w:rPr/>
        <w:t>РС”,</w:t>
      </w:r>
      <w:r>
        <w:rPr>
          <w:spacing w:val="-4"/>
        </w:rPr>
        <w:t xml:space="preserve"> </w:t>
      </w:r>
      <w:r>
        <w:rPr/>
        <w:t>број</w:t>
      </w:r>
      <w:r>
        <w:rPr>
          <w:spacing w:val="-2"/>
        </w:rPr>
        <w:t xml:space="preserve"> </w:t>
      </w:r>
      <w:r>
        <w:rPr/>
        <w:t>18/16,</w:t>
      </w:r>
      <w:r>
        <w:rPr>
          <w:spacing w:val="-3"/>
        </w:rPr>
        <w:t xml:space="preserve"> </w:t>
      </w:r>
      <w:r>
        <w:rPr/>
        <w:t>108/16,</w:t>
      </w:r>
      <w:r>
        <w:rPr>
          <w:spacing w:val="-2"/>
        </w:rPr>
        <w:t xml:space="preserve"> </w:t>
      </w:r>
      <w:r>
        <w:rPr/>
        <w:t>113/17,</w:t>
      </w:r>
      <w:r>
        <w:rPr>
          <w:spacing w:val="-2"/>
        </w:rPr>
        <w:t xml:space="preserve"> </w:t>
      </w:r>
      <w:r>
        <w:rPr/>
        <w:t>95/18,</w:t>
      </w:r>
      <w:r>
        <w:rPr>
          <w:spacing w:val="-3"/>
        </w:rPr>
        <w:t xml:space="preserve"> </w:t>
      </w:r>
      <w:r>
        <w:rPr/>
        <w:t>86/19</w:t>
      </w:r>
      <w:r>
        <w:rPr>
          <w:spacing w:val="-58"/>
        </w:rPr>
        <w:t xml:space="preserve"> </w:t>
      </w:r>
      <w:r>
        <w:rPr/>
        <w:t>и 157/20).</w:t>
      </w:r>
    </w:p>
    <w:p>
      <w:pPr>
        <w:pStyle w:val="TextBody"/>
        <w:ind w:left="112" w:right="184" w:firstLine="1301"/>
        <w:rPr>
          <w:sz w:val="24"/>
        </w:rPr>
      </w:pPr>
      <w:r>
        <w:rPr/>
        <w:t>Плате запослених код корисника буџета локалне власти уређене су и у складу са</w:t>
      </w:r>
      <w:r>
        <w:rPr>
          <w:spacing w:val="-57"/>
        </w:rPr>
        <w:t xml:space="preserve"> </w:t>
      </w:r>
      <w:r>
        <w:rPr/>
        <w:t>Законом о платама у државним органима и јавним службама („Службени гласник РС”, бр.</w:t>
      </w:r>
      <w:r>
        <w:rPr>
          <w:spacing w:val="1"/>
        </w:rPr>
        <w:t xml:space="preserve"> </w:t>
      </w:r>
      <w:r>
        <w:rPr/>
        <w:t>34/01, 62/06...113/17 - др.закон), Уредбом о коефицијентима за обрачун и исплату плата</w:t>
      </w:r>
      <w:r>
        <w:rPr>
          <w:spacing w:val="1"/>
        </w:rPr>
        <w:t xml:space="preserve"> </w:t>
      </w:r>
      <w:r>
        <w:rPr>
          <w:spacing w:val="-1"/>
        </w:rPr>
        <w:t>именованих</w:t>
      </w:r>
      <w:r>
        <w:rPr>
          <w:spacing w:val="-13"/>
        </w:rPr>
        <w:t xml:space="preserve"> </w:t>
      </w:r>
      <w:r>
        <w:rPr>
          <w:spacing w:val="-1"/>
        </w:rPr>
        <w:t>и</w:t>
      </w:r>
      <w:r>
        <w:rPr>
          <w:spacing w:val="-12"/>
        </w:rPr>
        <w:t xml:space="preserve"> </w:t>
      </w:r>
      <w:r>
        <w:rPr>
          <w:spacing w:val="-1"/>
        </w:rPr>
        <w:t>постављених</w:t>
      </w:r>
      <w:r>
        <w:rPr>
          <w:spacing w:val="-13"/>
        </w:rPr>
        <w:t xml:space="preserve"> </w:t>
      </w:r>
      <w:r>
        <w:rPr/>
        <w:t>лица</w:t>
      </w:r>
      <w:r>
        <w:rPr>
          <w:spacing w:val="-16"/>
        </w:rPr>
        <w:t xml:space="preserve"> </w:t>
      </w:r>
      <w:r>
        <w:rPr/>
        <w:t>и</w:t>
      </w:r>
      <w:r>
        <w:rPr>
          <w:spacing w:val="-14"/>
        </w:rPr>
        <w:t xml:space="preserve"> </w:t>
      </w:r>
      <w:r>
        <w:rPr/>
        <w:t>запослених</w:t>
      </w:r>
      <w:r>
        <w:rPr>
          <w:spacing w:val="-9"/>
        </w:rPr>
        <w:t xml:space="preserve"> </w:t>
      </w:r>
      <w:r>
        <w:rPr/>
        <w:t>у</w:t>
      </w:r>
      <w:r>
        <w:rPr>
          <w:spacing w:val="-20"/>
        </w:rPr>
        <w:t xml:space="preserve"> </w:t>
      </w:r>
      <w:r>
        <w:rPr/>
        <w:t>државним</w:t>
      </w:r>
      <w:r>
        <w:rPr>
          <w:spacing w:val="-16"/>
        </w:rPr>
        <w:t xml:space="preserve"> </w:t>
      </w:r>
      <w:r>
        <w:rPr/>
        <w:t>органима</w:t>
      </w:r>
      <w:r>
        <w:rPr>
          <w:spacing w:val="-14"/>
        </w:rPr>
        <w:t xml:space="preserve"> </w:t>
      </w:r>
      <w:r>
        <w:rPr/>
        <w:t>(„Службени</w:t>
      </w:r>
      <w:r>
        <w:rPr>
          <w:spacing w:val="-14"/>
        </w:rPr>
        <w:t xml:space="preserve"> </w:t>
      </w:r>
      <w:r>
        <w:rPr/>
        <w:t>гласник</w:t>
      </w:r>
      <w:r>
        <w:rPr>
          <w:spacing w:val="-14"/>
        </w:rPr>
        <w:t xml:space="preserve"> </w:t>
      </w:r>
      <w:r>
        <w:rPr/>
        <w:t>РС”,</w:t>
      </w:r>
      <w:r>
        <w:rPr>
          <w:spacing w:val="-57"/>
        </w:rPr>
        <w:t xml:space="preserve"> </w:t>
      </w:r>
      <w:r>
        <w:rPr/>
        <w:t>бр.</w:t>
      </w:r>
      <w:r>
        <w:rPr>
          <w:spacing w:val="-4"/>
        </w:rPr>
        <w:t xml:space="preserve"> </w:t>
      </w:r>
      <w:r>
        <w:rPr/>
        <w:t>44/08</w:t>
      </w:r>
      <w:r>
        <w:rPr>
          <w:spacing w:val="-2"/>
        </w:rPr>
        <w:t xml:space="preserve"> </w:t>
      </w:r>
      <w:r>
        <w:rPr/>
        <w:t>-</w:t>
      </w:r>
      <w:r>
        <w:rPr>
          <w:spacing w:val="-4"/>
        </w:rPr>
        <w:t xml:space="preserve"> </w:t>
      </w:r>
      <w:r>
        <w:rPr/>
        <w:t>пречишћен</w:t>
      </w:r>
      <w:r>
        <w:rPr>
          <w:spacing w:val="-2"/>
        </w:rPr>
        <w:t xml:space="preserve"> </w:t>
      </w:r>
      <w:r>
        <w:rPr/>
        <w:t>текст,</w:t>
      </w:r>
      <w:r>
        <w:rPr>
          <w:spacing w:val="-2"/>
        </w:rPr>
        <w:t xml:space="preserve"> </w:t>
      </w:r>
      <w:r>
        <w:rPr/>
        <w:t>2/12,</w:t>
      </w:r>
      <w:r>
        <w:rPr>
          <w:spacing w:val="-3"/>
        </w:rPr>
        <w:t xml:space="preserve"> </w:t>
      </w:r>
      <w:r>
        <w:rPr/>
        <w:t>113/17-др.закон</w:t>
      </w:r>
      <w:r>
        <w:rPr>
          <w:spacing w:val="-1"/>
        </w:rPr>
        <w:t xml:space="preserve"> </w:t>
      </w:r>
      <w:r>
        <w:rPr/>
        <w:t>и</w:t>
      </w:r>
      <w:r>
        <w:rPr>
          <w:spacing w:val="-3"/>
        </w:rPr>
        <w:t xml:space="preserve"> </w:t>
      </w:r>
      <w:r>
        <w:rPr/>
        <w:t>23/18,</w:t>
      </w:r>
      <w:r>
        <w:rPr>
          <w:spacing w:val="-2"/>
        </w:rPr>
        <w:t xml:space="preserve"> </w:t>
      </w:r>
      <w:r>
        <w:rPr/>
        <w:t>95/18-</w:t>
      </w:r>
      <w:r>
        <w:rPr>
          <w:spacing w:val="-4"/>
        </w:rPr>
        <w:t xml:space="preserve"> </w:t>
      </w:r>
      <w:r>
        <w:rPr/>
        <w:t>др.</w:t>
      </w:r>
      <w:r>
        <w:rPr>
          <w:spacing w:val="-3"/>
        </w:rPr>
        <w:t xml:space="preserve"> </w:t>
      </w:r>
      <w:r>
        <w:rPr/>
        <w:t>закон,</w:t>
      </w:r>
      <w:r>
        <w:rPr>
          <w:spacing w:val="-3"/>
        </w:rPr>
        <w:t xml:space="preserve"> </w:t>
      </w:r>
      <w:r>
        <w:rPr/>
        <w:t>86/19</w:t>
      </w:r>
      <w:r>
        <w:rPr>
          <w:spacing w:val="-1"/>
        </w:rPr>
        <w:t xml:space="preserve"> </w:t>
      </w:r>
      <w:r>
        <w:rPr/>
        <w:t>–</w:t>
      </w:r>
      <w:r>
        <w:rPr>
          <w:spacing w:val="-3"/>
        </w:rPr>
        <w:t xml:space="preserve"> </w:t>
      </w:r>
      <w:r>
        <w:rPr/>
        <w:t>др.закон</w:t>
      </w:r>
      <w:r>
        <w:rPr>
          <w:spacing w:val="-2"/>
        </w:rPr>
        <w:t xml:space="preserve"> </w:t>
      </w:r>
      <w:r>
        <w:rPr/>
        <w:t>и</w:t>
      </w:r>
      <w:r>
        <w:rPr>
          <w:spacing w:val="-58"/>
        </w:rPr>
        <w:t xml:space="preserve"> </w:t>
      </w:r>
      <w:r>
        <w:rPr/>
        <w:t>157/20).</w:t>
      </w:r>
    </w:p>
    <w:p>
      <w:pPr>
        <w:pStyle w:val="TextBody"/>
        <w:spacing w:before="1" w:after="0"/>
        <w:ind w:left="112" w:right="196" w:firstLine="1301"/>
        <w:rPr>
          <w:sz w:val="24"/>
        </w:rPr>
      </w:pPr>
      <w:r>
        <w:rPr/>
        <w:t>Приликом обрачуна и исплате плата за запослене у предшколским установама и</w:t>
      </w:r>
      <w:r>
        <w:rPr>
          <w:spacing w:val="-57"/>
        </w:rPr>
        <w:t xml:space="preserve"> </w:t>
      </w:r>
      <w:r>
        <w:rPr/>
        <w:t>другим јавним службама (установе културе) не примењује се Уредба о коефицијентима за</w:t>
      </w:r>
      <w:r>
        <w:rPr>
          <w:spacing w:val="1"/>
        </w:rPr>
        <w:t xml:space="preserve"> </w:t>
      </w:r>
      <w:r>
        <w:rPr>
          <w:spacing w:val="-1"/>
        </w:rPr>
        <w:t>обрачун</w:t>
      </w:r>
      <w:r>
        <w:rPr>
          <w:spacing w:val="-9"/>
        </w:rPr>
        <w:t xml:space="preserve"> </w:t>
      </w:r>
      <w:r>
        <w:rPr>
          <w:spacing w:val="-1"/>
        </w:rPr>
        <w:t>и</w:t>
      </w:r>
      <w:r>
        <w:rPr>
          <w:spacing w:val="-8"/>
        </w:rPr>
        <w:t xml:space="preserve"> </w:t>
      </w:r>
      <w:r>
        <w:rPr>
          <w:spacing w:val="-1"/>
        </w:rPr>
        <w:t>исплату</w:t>
      </w:r>
      <w:r>
        <w:rPr>
          <w:spacing w:val="-15"/>
        </w:rPr>
        <w:t xml:space="preserve"> </w:t>
      </w:r>
      <w:r>
        <w:rPr>
          <w:spacing w:val="-1"/>
        </w:rPr>
        <w:t>плата</w:t>
      </w:r>
      <w:r>
        <w:rPr>
          <w:spacing w:val="-10"/>
        </w:rPr>
        <w:t xml:space="preserve"> </w:t>
      </w:r>
      <w:r>
        <w:rPr>
          <w:spacing w:val="-1"/>
        </w:rPr>
        <w:t>именованих</w:t>
      </w:r>
      <w:r>
        <w:rPr>
          <w:spacing w:val="-8"/>
        </w:rPr>
        <w:t xml:space="preserve"> </w:t>
      </w:r>
      <w:r>
        <w:rPr/>
        <w:t>и</w:t>
      </w:r>
      <w:r>
        <w:rPr>
          <w:spacing w:val="-11"/>
        </w:rPr>
        <w:t xml:space="preserve"> </w:t>
      </w:r>
      <w:r>
        <w:rPr/>
        <w:t>постављених</w:t>
      </w:r>
      <w:r>
        <w:rPr>
          <w:spacing w:val="-8"/>
        </w:rPr>
        <w:t xml:space="preserve"> </w:t>
      </w:r>
      <w:r>
        <w:rPr/>
        <w:t>лица</w:t>
      </w:r>
      <w:r>
        <w:rPr>
          <w:spacing w:val="-10"/>
        </w:rPr>
        <w:t xml:space="preserve"> </w:t>
      </w:r>
      <w:r>
        <w:rPr/>
        <w:t>и</w:t>
      </w:r>
      <w:r>
        <w:rPr>
          <w:spacing w:val="-9"/>
        </w:rPr>
        <w:t xml:space="preserve"> </w:t>
      </w:r>
      <w:r>
        <w:rPr/>
        <w:t>запослених</w:t>
      </w:r>
      <w:r>
        <w:rPr>
          <w:spacing w:val="-5"/>
        </w:rPr>
        <w:t xml:space="preserve"> </w:t>
      </w:r>
      <w:r>
        <w:rPr/>
        <w:t>у</w:t>
      </w:r>
      <w:r>
        <w:rPr>
          <w:spacing w:val="-16"/>
        </w:rPr>
        <w:t xml:space="preserve"> </w:t>
      </w:r>
      <w:r>
        <w:rPr/>
        <w:t>државним</w:t>
      </w:r>
      <w:r>
        <w:rPr>
          <w:spacing w:val="-11"/>
        </w:rPr>
        <w:t xml:space="preserve"> </w:t>
      </w:r>
      <w:r>
        <w:rPr/>
        <w:t>органима,</w:t>
      </w:r>
      <w:r>
        <w:rPr>
          <w:spacing w:val="-58"/>
        </w:rPr>
        <w:t xml:space="preserve"> </w:t>
      </w:r>
      <w:r>
        <w:rPr/>
        <w:t>већ Уредба о коефицијентима за обрачун и исплату плата запослених у јавним службама</w:t>
      </w:r>
      <w:r>
        <w:rPr>
          <w:spacing w:val="1"/>
        </w:rPr>
        <w:t xml:space="preserve"> </w:t>
      </w:r>
      <w:r>
        <w:rPr/>
        <w:t>(„Службени</w:t>
      </w:r>
      <w:r>
        <w:rPr>
          <w:spacing w:val="-1"/>
        </w:rPr>
        <w:t xml:space="preserve"> </w:t>
      </w:r>
      <w:r>
        <w:rPr/>
        <w:t>гласник РС”, бр. 44/01...</w:t>
      </w:r>
      <w:r>
        <w:rPr>
          <w:spacing w:val="-1"/>
        </w:rPr>
        <w:t xml:space="preserve"> </w:t>
      </w:r>
      <w:r>
        <w:rPr/>
        <w:t>157/20-др.закон, 19/21</w:t>
      </w:r>
      <w:r>
        <w:rPr>
          <w:spacing w:val="-2"/>
        </w:rPr>
        <w:t xml:space="preserve"> </w:t>
      </w:r>
      <w:r>
        <w:rPr/>
        <w:t>и 48/21).</w:t>
      </w:r>
    </w:p>
    <w:p>
      <w:pPr>
        <w:pStyle w:val="ListParagraph"/>
        <w:ind w:left="0" w:firstLine="1110"/>
        <w:rPr/>
      </w:pPr>
      <w:r>
        <w:rPr/>
        <w:t>Приликом обрачуна и исплате плата примењују се основице према закључцима Владе Републике Србије.</w:t>
      </w:r>
    </w:p>
    <w:p>
      <w:pPr>
        <w:pStyle w:val="ListParagraph"/>
        <w:ind w:left="0" w:firstLine="1110"/>
        <w:rPr/>
      </w:pPr>
      <w:r>
        <w:rPr/>
      </w:r>
    </w:p>
    <w:p>
      <w:pPr>
        <w:pStyle w:val="ListParagraph"/>
        <w:numPr>
          <w:ilvl w:val="0"/>
          <w:numId w:val="1"/>
        </w:numPr>
        <w:rPr>
          <w:b/>
          <w:b/>
        </w:rPr>
      </w:pPr>
      <w:r>
        <w:rPr>
          <w:b/>
        </w:rPr>
        <w:t>Планирање масе средстава за плате  и броја запослених у одлукама о буџету за 202</w:t>
      </w:r>
      <w:r>
        <w:rPr>
          <w:b/>
          <w:lang w:val="en-US"/>
        </w:rPr>
        <w:t>2</w:t>
      </w:r>
      <w:r>
        <w:rPr>
          <w:b/>
        </w:rPr>
        <w:t>. годину</w:t>
      </w:r>
    </w:p>
    <w:p>
      <w:pPr>
        <w:pStyle w:val="Normal"/>
        <w:widowControl/>
        <w:bidi w:val="0"/>
        <w:spacing w:lineRule="auto" w:line="276" w:before="0" w:after="200"/>
        <w:ind w:left="0" w:right="180" w:firstLine="1169"/>
        <w:jc w:val="left"/>
        <w:rPr>
          <w:sz w:val="24"/>
        </w:rPr>
      </w:pPr>
      <w:r>
        <w:rPr/>
        <w:t>C</w:t>
      </w:r>
      <w:r>
        <w:rPr/>
        <w:t>редства за плате задржана су</w:t>
      </w:r>
      <w:r>
        <w:rPr>
          <w:spacing w:val="1"/>
        </w:rPr>
        <w:t xml:space="preserve"> </w:t>
      </w:r>
      <w:r>
        <w:rPr/>
        <w:t>на нивоу средстава планираних Законом о буџету</w:t>
      </w:r>
      <w:r>
        <w:rPr>
          <w:spacing w:val="1"/>
        </w:rPr>
        <w:t xml:space="preserve"> </w:t>
      </w:r>
      <w:r>
        <w:rPr/>
        <w:t>Републике Србије за 2021. годину, а евентуална корекција износа планираних средстава за</w:t>
      </w:r>
      <w:r>
        <w:rPr>
          <w:spacing w:val="1"/>
        </w:rPr>
        <w:t xml:space="preserve"> </w:t>
      </w:r>
      <w:r>
        <w:rPr/>
        <w:t>плате</w:t>
      </w:r>
      <w:r>
        <w:rPr>
          <w:spacing w:val="33"/>
        </w:rPr>
        <w:t xml:space="preserve"> </w:t>
      </w:r>
      <w:r>
        <w:rPr/>
        <w:t>извршиће</w:t>
      </w:r>
      <w:r>
        <w:rPr>
          <w:spacing w:val="32"/>
        </w:rPr>
        <w:t xml:space="preserve"> </w:t>
      </w:r>
      <w:r>
        <w:rPr/>
        <w:t>се</w:t>
      </w:r>
      <w:r>
        <w:rPr>
          <w:spacing w:val="34"/>
        </w:rPr>
        <w:t xml:space="preserve"> </w:t>
      </w:r>
      <w:r>
        <w:rPr/>
        <w:t>у</w:t>
      </w:r>
      <w:r>
        <w:rPr>
          <w:spacing w:val="26"/>
        </w:rPr>
        <w:t xml:space="preserve"> </w:t>
      </w:r>
      <w:r>
        <w:rPr/>
        <w:t>току</w:t>
      </w:r>
      <w:r>
        <w:rPr>
          <w:spacing w:val="26"/>
        </w:rPr>
        <w:t xml:space="preserve"> </w:t>
      </w:r>
      <w:r>
        <w:rPr/>
        <w:t>буџетске</w:t>
      </w:r>
      <w:r>
        <w:rPr>
          <w:spacing w:val="33"/>
        </w:rPr>
        <w:t xml:space="preserve"> </w:t>
      </w:r>
      <w:r>
        <w:rPr/>
        <w:t>процедуре</w:t>
      </w:r>
      <w:r>
        <w:rPr>
          <w:spacing w:val="32"/>
        </w:rPr>
        <w:t xml:space="preserve"> </w:t>
      </w:r>
      <w:r>
        <w:rPr/>
        <w:t>на</w:t>
      </w:r>
      <w:r>
        <w:rPr>
          <w:spacing w:val="32"/>
        </w:rPr>
        <w:t xml:space="preserve"> </w:t>
      </w:r>
      <w:r>
        <w:rPr/>
        <w:t>основу</w:t>
      </w:r>
      <w:r>
        <w:rPr>
          <w:spacing w:val="28"/>
        </w:rPr>
        <w:t xml:space="preserve"> </w:t>
      </w:r>
      <w:r>
        <w:rPr/>
        <w:t>ревидиране</w:t>
      </w:r>
      <w:r>
        <w:rPr>
          <w:spacing w:val="32"/>
        </w:rPr>
        <w:t xml:space="preserve"> </w:t>
      </w:r>
      <w:r>
        <w:rPr/>
        <w:t>Фискалне</w:t>
      </w:r>
      <w:r>
        <w:rPr>
          <w:spacing w:val="32"/>
        </w:rPr>
        <w:t xml:space="preserve"> </w:t>
      </w:r>
      <w:r>
        <w:rPr/>
        <w:t>стратегије, измена</w:t>
      </w:r>
      <w:r>
        <w:rPr>
          <w:spacing w:val="19"/>
        </w:rPr>
        <w:t xml:space="preserve"> </w:t>
      </w:r>
      <w:r>
        <w:rPr/>
        <w:t>и</w:t>
      </w:r>
      <w:r>
        <w:rPr>
          <w:spacing w:val="21"/>
        </w:rPr>
        <w:t xml:space="preserve"> </w:t>
      </w:r>
      <w:r>
        <w:rPr/>
        <w:t>допуна</w:t>
      </w:r>
      <w:r>
        <w:rPr>
          <w:spacing w:val="19"/>
        </w:rPr>
        <w:t xml:space="preserve"> </w:t>
      </w:r>
      <w:r>
        <w:rPr/>
        <w:t>Закона</w:t>
      </w:r>
      <w:r>
        <w:rPr>
          <w:spacing w:val="19"/>
        </w:rPr>
        <w:t xml:space="preserve"> </w:t>
      </w:r>
      <w:r>
        <w:rPr/>
        <w:t>о</w:t>
      </w:r>
      <w:r>
        <w:rPr>
          <w:spacing w:val="20"/>
        </w:rPr>
        <w:t xml:space="preserve"> </w:t>
      </w:r>
      <w:r>
        <w:rPr/>
        <w:t>буџетском</w:t>
      </w:r>
      <w:r>
        <w:rPr>
          <w:spacing w:val="20"/>
        </w:rPr>
        <w:t xml:space="preserve"> </w:t>
      </w:r>
      <w:r>
        <w:rPr/>
        <w:t>систему</w:t>
      </w:r>
      <w:r>
        <w:rPr>
          <w:spacing w:val="17"/>
        </w:rPr>
        <w:t xml:space="preserve"> </w:t>
      </w:r>
      <w:r>
        <w:rPr/>
        <w:t>и</w:t>
      </w:r>
      <w:r>
        <w:rPr>
          <w:spacing w:val="21"/>
        </w:rPr>
        <w:t xml:space="preserve"> </w:t>
      </w:r>
      <w:r>
        <w:rPr/>
        <w:t>процене</w:t>
      </w:r>
      <w:r>
        <w:rPr>
          <w:spacing w:val="19"/>
        </w:rPr>
        <w:t xml:space="preserve"> </w:t>
      </w:r>
      <w:r>
        <w:rPr/>
        <w:t>потребних</w:t>
      </w:r>
      <w:r>
        <w:rPr>
          <w:spacing w:val="23"/>
        </w:rPr>
        <w:t xml:space="preserve"> </w:t>
      </w:r>
      <w:r>
        <w:rPr/>
        <w:t>средстава</w:t>
      </w:r>
      <w:r>
        <w:rPr>
          <w:spacing w:val="19"/>
        </w:rPr>
        <w:t xml:space="preserve"> </w:t>
      </w:r>
      <w:r>
        <w:rPr/>
        <w:t>за</w:t>
      </w:r>
      <w:r>
        <w:rPr>
          <w:spacing w:val="19"/>
        </w:rPr>
        <w:t xml:space="preserve"> </w:t>
      </w:r>
      <w:r>
        <w:rPr/>
        <w:t>расходе</w:t>
      </w:r>
      <w:r>
        <w:rPr>
          <w:spacing w:val="19"/>
        </w:rPr>
        <w:t xml:space="preserve"> </w:t>
      </w:r>
      <w:r>
        <w:rPr/>
        <w:t>за</w:t>
      </w:r>
      <w:r>
        <w:rPr>
          <w:spacing w:val="-57"/>
        </w:rPr>
        <w:t xml:space="preserve"> </w:t>
      </w:r>
      <w:r>
        <w:rPr/>
        <w:t>запослене</w:t>
      </w:r>
      <w:r>
        <w:rPr>
          <w:spacing w:val="-2"/>
        </w:rPr>
        <w:t xml:space="preserve"> </w:t>
      </w:r>
      <w:r>
        <w:rPr/>
        <w:t>за</w:t>
      </w:r>
      <w:r>
        <w:rPr>
          <w:spacing w:val="-1"/>
        </w:rPr>
        <w:t xml:space="preserve"> </w:t>
      </w:r>
      <w:r>
        <w:rPr/>
        <w:t>2022. годину.</w:t>
      </w:r>
    </w:p>
    <w:p>
      <w:pPr>
        <w:pStyle w:val="Normal"/>
        <w:widowControl/>
        <w:bidi w:val="0"/>
        <w:spacing w:lineRule="auto" w:line="276" w:before="0" w:after="200"/>
        <w:ind w:left="0" w:right="180" w:firstLine="1169"/>
        <w:jc w:val="left"/>
        <w:rPr>
          <w:sz w:val="24"/>
        </w:rPr>
      </w:pPr>
      <w:r>
        <w:rPr/>
        <w:t>Као и у претходним годинама, и у буџетској 202</w:t>
      </w:r>
      <w:r>
        <w:rPr>
          <w:lang w:val="en-US"/>
        </w:rPr>
        <w:t>2</w:t>
      </w:r>
      <w:r>
        <w:rPr/>
        <w:t>. години, не треба планирати обрачун и исплату божићних, годишњих и других врста награда и бонуса предвиђених посебним и појединачним колективним уговорима, за директне и индиректне кориснике буџетских средстава локалне власти, осим јубиларних награда за запослене који ће то право стећи у 202</w:t>
      </w:r>
      <w:r>
        <w:rPr>
          <w:lang w:val="en-US"/>
        </w:rPr>
        <w:t>2</w:t>
      </w:r>
      <w:r>
        <w:rPr/>
        <w:t>. години.</w:t>
      </w:r>
    </w:p>
    <w:p>
      <w:pPr>
        <w:pStyle w:val="ListParagraph"/>
        <w:ind w:left="0" w:firstLine="750"/>
        <w:rPr/>
      </w:pPr>
      <w:r>
        <w:rPr/>
        <w:t>Такође, у 202</w:t>
      </w:r>
      <w:r>
        <w:rPr>
          <w:lang w:val="en-US"/>
        </w:rPr>
        <w:t>2</w:t>
      </w:r>
      <w:r>
        <w:rPr/>
        <w:t xml:space="preserve">.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 </w:t>
      </w:r>
    </w:p>
    <w:p>
      <w:pPr>
        <w:pStyle w:val="ListParagraph"/>
        <w:ind w:left="0" w:firstLine="720"/>
        <w:rPr/>
      </w:pPr>
      <w:r>
        <w:rPr/>
        <w:t>Остале економске класификације у оквиру групе 41 – Расходи за запослене, планирати крајње рестриктивно.</w:t>
      </w:r>
    </w:p>
    <w:p>
      <w:pPr>
        <w:pStyle w:val="ListParagraph"/>
        <w:ind w:left="0" w:firstLine="720"/>
        <w:rPr/>
      </w:pPr>
      <w:r>
        <w:rPr>
          <w:b/>
        </w:rPr>
        <w:t>Група конта 42 – Коришћење услуга и роба</w:t>
      </w:r>
      <w:r>
        <w:rPr/>
        <w:t xml:space="preserve"> </w:t>
      </w:r>
    </w:p>
    <w:p>
      <w:pPr>
        <w:pStyle w:val="ListParagraph"/>
        <w:ind w:left="0" w:firstLine="720"/>
        <w:rPr/>
      </w:pPr>
      <w:r>
        <w:rPr/>
      </w:r>
    </w:p>
    <w:p>
      <w:pPr>
        <w:pStyle w:val="ListParagraph"/>
        <w:ind w:left="0" w:firstLine="720"/>
        <w:rPr/>
      </w:pPr>
      <w:r>
        <w:rPr/>
        <w:t>У оквиру групе конта која се односе на куповину роба и услуга, потребно је реално планирати средства за ове намене у 202</w:t>
      </w:r>
      <w:r>
        <w:rPr>
          <w:lang w:val="en-US"/>
        </w:rPr>
        <w:t>2</w:t>
      </w:r>
      <w:r>
        <w:rPr/>
        <w:t xml:space="preserve">. години, водећи рачуна да се не угрози извршавање сталних трошкова (421 – Стални трошкови). </w:t>
      </w:r>
    </w:p>
    <w:p>
      <w:pPr>
        <w:pStyle w:val="ListParagraph"/>
        <w:ind w:left="0" w:firstLine="720"/>
        <w:rPr/>
      </w:pPr>
      <w:r>
        <w:rPr/>
        <w:t xml:space="preserve">Препорука је да буџетски корисници у буџетској процедури преиспитају и потребу смањења других накнада за рад, које нису обухваћене Законом (уговори о делу, привремено повремени послови и др), а све у циљу великих потреба фискалног прилагођавања. </w:t>
      </w:r>
    </w:p>
    <w:p>
      <w:pPr>
        <w:pStyle w:val="ListParagraph"/>
        <w:ind w:left="0" w:firstLine="720"/>
        <w:rPr/>
      </w:pPr>
      <w:r>
        <w:rPr/>
        <w:t xml:space="preserve">Посебно је приликом планирања ове групе конта потребан крајње реалан приступ и са аспекта Закона о роковима измирења новчаних обавеза у комерцијалним трансакцијама. </w:t>
      </w:r>
    </w:p>
    <w:p>
      <w:pPr>
        <w:pStyle w:val="ListParagraph"/>
        <w:ind w:left="0" w:firstLine="720"/>
        <w:rPr/>
      </w:pPr>
      <w:r>
        <w:rPr/>
      </w:r>
    </w:p>
    <w:p>
      <w:pPr>
        <w:pStyle w:val="ListParagraph"/>
        <w:ind w:left="0" w:firstLine="720"/>
        <w:rPr/>
      </w:pPr>
      <w:r>
        <w:rPr>
          <w:b/>
        </w:rPr>
        <w:t>Група конта 45 - Субвенције и група конта 62 - Набавка финансијске имовине</w:t>
      </w:r>
      <w:r>
        <w:rPr/>
        <w:t xml:space="preserve"> </w:t>
      </w:r>
    </w:p>
    <w:p>
      <w:pPr>
        <w:pStyle w:val="ListParagraph"/>
        <w:ind w:left="0" w:firstLine="720"/>
        <w:rPr/>
      </w:pPr>
      <w:r>
        <w:rPr/>
      </w:r>
    </w:p>
    <w:p>
      <w:pPr>
        <w:pStyle w:val="ListParagraph"/>
        <w:ind w:left="0" w:firstLine="720"/>
        <w:rPr/>
      </w:pPr>
      <w:r>
        <w:rPr/>
        <w:t xml:space="preserve">У оквиру субвенција и буџетских кредита неопходно је преиспитати све програме по основу којих се додељују субвенције и буџетски кредити. </w:t>
      </w:r>
    </w:p>
    <w:p>
      <w:pPr>
        <w:pStyle w:val="ListParagraph"/>
        <w:ind w:left="0" w:firstLine="720"/>
        <w:rPr/>
      </w:pPr>
      <w:r>
        <w:rPr/>
        <w:t xml:space="preserve">Приликом планирања средстава за субвенције и њихових намена посебно треба имати у виду све прописе који се тичу државне помоћи. </w:t>
      </w:r>
    </w:p>
    <w:p>
      <w:pPr>
        <w:pStyle w:val="ListParagraph"/>
        <w:ind w:left="0" w:firstLine="720"/>
        <w:rPr/>
      </w:pPr>
      <w:r>
        <w:rPr/>
      </w:r>
    </w:p>
    <w:p>
      <w:pPr>
        <w:pStyle w:val="ListParagraph"/>
        <w:ind w:left="0" w:firstLine="720"/>
        <w:rPr/>
      </w:pPr>
      <w:r>
        <w:rPr>
          <w:b/>
        </w:rPr>
        <w:t>Група конта 48 – Остали расходи</w:t>
      </w:r>
      <w:r>
        <w:rPr/>
        <w:t xml:space="preserve"> </w:t>
      </w:r>
    </w:p>
    <w:p>
      <w:pPr>
        <w:pStyle w:val="ListParagraph"/>
        <w:ind w:left="0" w:firstLine="720"/>
        <w:rPr/>
      </w:pPr>
      <w:r>
        <w:rPr/>
      </w:r>
    </w:p>
    <w:p>
      <w:pPr>
        <w:pStyle w:val="ListParagraph"/>
        <w:ind w:left="0" w:firstLine="720"/>
        <w:rPr/>
      </w:pPr>
      <w:r>
        <w:rPr/>
        <w:t xml:space="preserve"> </w:t>
      </w:r>
      <w:r>
        <w:rPr/>
        <w:t xml:space="preserve">Приликом планирања наведених расхода, треба имати у виду да се услед недовољног износа средстава на економској класификацији 483 – Новчане казне и пенали по решењу судова, иста повећава смањењем осталих економских класификација, на којима је, због наведеног, неопходно прилагодити преузимање обавеза, како би се на тај начин спречило стварање доцњи. </w:t>
      </w:r>
    </w:p>
    <w:p>
      <w:pPr>
        <w:pStyle w:val="ListParagraph"/>
        <w:ind w:left="0" w:firstLine="720"/>
        <w:rPr/>
      </w:pPr>
      <w:r>
        <w:rPr/>
        <w:t xml:space="preserve">У циљу транспарентнијег приказивања средстава намењених за финансирање редовног рада политичких субјеката, у складу са Законом о финансирању политичких активности потребно је, у опису апропријације економске класификације 481 – Дотације невладиним организацијама, посебно исказати средства за наведену намену. </w:t>
      </w:r>
    </w:p>
    <w:p>
      <w:pPr>
        <w:pStyle w:val="ListParagraph"/>
        <w:ind w:left="0" w:firstLine="720"/>
        <w:rPr/>
      </w:pPr>
      <w:r>
        <w:rPr/>
      </w:r>
    </w:p>
    <w:p>
      <w:pPr>
        <w:pStyle w:val="ListParagraph"/>
        <w:ind w:left="0" w:firstLine="720"/>
        <w:rPr/>
      </w:pPr>
      <w:r>
        <w:rPr>
          <w:b/>
        </w:rPr>
        <w:t xml:space="preserve">Смернице за исказивање издатака за капиталне пројекте </w:t>
      </w:r>
    </w:p>
    <w:p>
      <w:pPr>
        <w:pStyle w:val="ListParagraph"/>
        <w:ind w:left="0" w:firstLine="720"/>
        <w:rPr/>
      </w:pPr>
      <w:r>
        <w:rPr/>
      </w:r>
    </w:p>
    <w:p>
      <w:pPr>
        <w:pStyle w:val="ListParagraph"/>
        <w:ind w:left="0" w:firstLine="720"/>
        <w:rPr/>
      </w:pPr>
      <w:r>
        <w:rPr>
          <w:b/>
        </w:rPr>
        <w:t xml:space="preserve"> </w:t>
      </w:r>
      <w:r>
        <w:rPr>
          <w:b/>
        </w:rPr>
        <w:t>Класа 5 –Издаци за нефинансијску имовину</w:t>
      </w:r>
      <w:r>
        <w:rPr/>
        <w:t xml:space="preserve"> </w:t>
      </w:r>
    </w:p>
    <w:p>
      <w:pPr>
        <w:pStyle w:val="ListParagraph"/>
        <w:ind w:left="0" w:firstLine="720"/>
        <w:rPr/>
      </w:pPr>
      <w:r>
        <w:rPr/>
      </w:r>
    </w:p>
    <w:p>
      <w:pPr>
        <w:pStyle w:val="ListParagraph"/>
        <w:ind w:left="0" w:firstLine="720"/>
        <w:rPr/>
      </w:pPr>
      <w:r>
        <w:rPr/>
        <w:t xml:space="preserve">Набавке административне, канцеларијске опреме, аутомобила и осталих основних средстава за редован рад потребно је планирати уз максималне уштеде, тако да се само врше набавке средстава неопходних за рад. </w:t>
      </w:r>
    </w:p>
    <w:p>
      <w:pPr>
        <w:pStyle w:val="ListParagraph"/>
        <w:ind w:left="0" w:firstLine="720"/>
        <w:rPr/>
      </w:pPr>
      <w:r>
        <w:rPr/>
        <w:t xml:space="preserve">Важно је да корисници не исказују као капиталне издатке текуће поправке и одржавање зграда, објеката и опреме, већ да расходе за те намене (за молерске, зидарске радове, поправке електронске и електричне опреме итд.) планирају на апропријацији економске класификације 425 – Текуће поправке и одржавање, док средства за капиталне пројекте треба да планирају на контима групе 51, 52 и 54. </w:t>
      </w:r>
    </w:p>
    <w:p>
      <w:pPr>
        <w:pStyle w:val="ListParagraph"/>
        <w:ind w:left="0" w:firstLine="720"/>
        <w:rPr/>
      </w:pPr>
      <w:r>
        <w:rPr/>
      </w:r>
    </w:p>
    <w:p>
      <w:pPr>
        <w:pStyle w:val="ListParagraph"/>
        <w:ind w:left="0" w:firstLine="720"/>
        <w:rPr>
          <w:b/>
          <w:b/>
        </w:rPr>
      </w:pPr>
      <w:r>
        <w:rPr>
          <w:b/>
        </w:rPr>
        <w:t xml:space="preserve"> </w:t>
      </w:r>
      <w:r>
        <w:rPr>
          <w:b/>
        </w:rPr>
        <w:t>Капитални пројекти и њихов значај</w:t>
      </w:r>
    </w:p>
    <w:p>
      <w:pPr>
        <w:pStyle w:val="ListParagraph"/>
        <w:ind w:left="0" w:firstLine="720"/>
        <w:rPr>
          <w:b/>
          <w:b/>
        </w:rPr>
      </w:pPr>
      <w:r>
        <w:rPr>
          <w:b/>
        </w:rPr>
      </w:r>
    </w:p>
    <w:p>
      <w:pPr>
        <w:pStyle w:val="ListParagraph"/>
        <w:ind w:left="0" w:firstLine="720"/>
        <w:rPr/>
      </w:pPr>
      <w:r>
        <w:rPr/>
        <w:t>У циљу ефикасног планирања , важно је да корисници расходе за текуће поправке и одржавање зграда , објеката и опреме (за молерске, зидарске радове, поправке електронске и електричне опреме , замена санитарија, радијатора и сличне послове), којима се чува употребна вредност зграда , објеката и опреме у стању које је било у тренутку изградње, односно реконструкције и којима се не увећава њихова инвестициона вредност планирају на апропријацији  економске класификције 425-Текуће поправке и одржавање, док се средства за капитално одржавање (значајни, дугорочнирадови на реновирању и унапређењу постојећих објеката и опреме, адаптација, реконструкција, санација и др.) планирају на контима класе 5.</w:t>
      </w:r>
    </w:p>
    <w:p>
      <w:pPr>
        <w:pStyle w:val="ListParagraph"/>
        <w:ind w:left="0" w:firstLine="720"/>
        <w:rPr/>
      </w:pPr>
      <w:r>
        <w:rPr/>
      </w:r>
    </w:p>
    <w:p>
      <w:pPr>
        <w:pStyle w:val="ListParagraph"/>
        <w:ind w:left="0" w:firstLine="720"/>
        <w:rPr>
          <w:b/>
          <w:b/>
        </w:rPr>
      </w:pPr>
      <w:r>
        <w:rPr>
          <w:b/>
        </w:rPr>
        <w:t>Капитални пројекти</w:t>
      </w:r>
    </w:p>
    <w:p>
      <w:pPr>
        <w:pStyle w:val="ListParagraph"/>
        <w:ind w:left="0" w:firstLine="720"/>
        <w:rPr/>
      </w:pPr>
      <w:r>
        <w:rPr/>
      </w:r>
    </w:p>
    <w:p>
      <w:pPr>
        <w:pStyle w:val="ListParagraph"/>
        <w:ind w:left="0" w:firstLine="720"/>
        <w:rPr/>
      </w:pPr>
      <w:r>
        <w:rPr/>
        <w:t>Капитални пројекти су пројекти изградње и капиталног одржавања зграда и грађевинских објеката инфраструктуре од интереса за локалну самоуправу, укључујући услуге пројектног планирања које је саставни део пројекта, обезбеђивање земљишта за изградњу , као и пројекти који подразумевају улагања у опрему, машине и другу нефинансијску имовину, а у функцију су јавног интереса.</w:t>
      </w:r>
    </w:p>
    <w:p>
      <w:pPr>
        <w:pStyle w:val="ListParagraph"/>
        <w:ind w:left="0" w:firstLine="720"/>
        <w:rPr/>
      </w:pPr>
      <w:r>
        <w:rPr/>
        <w:t xml:space="preserve">Капитални пројекти планирају се и укључују у буџет у складу са одредбама </w:t>
      </w:r>
      <w:r>
        <w:rPr>
          <w:lang w:val="sr-RS"/>
        </w:rPr>
        <w:t>У</w:t>
      </w:r>
      <w:r>
        <w:rPr/>
        <w:t xml:space="preserve">редбе о </w:t>
      </w:r>
      <w:r>
        <w:rPr>
          <w:lang w:val="sr-RS"/>
        </w:rPr>
        <w:t>управљању капиталним пројектима („Сл. Гласник РС“, бр. 51/19).</w:t>
      </w:r>
    </w:p>
    <w:p>
      <w:pPr>
        <w:pStyle w:val="ListParagraph"/>
        <w:ind w:left="0" w:firstLine="720"/>
        <w:rPr/>
      </w:pPr>
      <w:r>
        <w:rPr/>
      </w:r>
    </w:p>
    <w:p>
      <w:pPr>
        <w:pStyle w:val="ListParagraph"/>
        <w:ind w:left="0" w:firstLine="720"/>
        <w:rPr/>
      </w:pPr>
      <w:r>
        <w:rPr/>
        <w:t xml:space="preserve"> </w:t>
      </w:r>
      <w:r>
        <w:rPr>
          <w:b/>
        </w:rPr>
        <w:t>Планирање издатака за капиталне пројекте</w:t>
      </w:r>
      <w:r>
        <w:rPr/>
        <w:t xml:space="preserve"> </w:t>
      </w:r>
    </w:p>
    <w:p>
      <w:pPr>
        <w:pStyle w:val="ListParagraph"/>
        <w:ind w:left="0" w:firstLine="720"/>
        <w:rPr/>
      </w:pPr>
      <w:r>
        <w:rPr/>
      </w:r>
    </w:p>
    <w:p>
      <w:pPr>
        <w:pStyle w:val="ListParagraph"/>
        <w:ind w:left="0" w:firstLine="720"/>
        <w:rPr/>
      </w:pPr>
      <w:r>
        <w:rPr/>
        <w:t>Ради ефикаснијег планирања издатака за капиталне пројекте корисници буџетских средстава дужни су да локалном органу надлежном за финансије доставе попуњену табелу - План капиталних улагања. У наведеној табели, корисници су у обавези да искажу планиране издатке за капиталне пројекте по годинама који се односе на изградњу и капитално одржавање, по контима на трећем и четвртом нивоу, и то:</w:t>
      </w:r>
    </w:p>
    <w:p>
      <w:pPr>
        <w:pStyle w:val="ListParagraph"/>
        <w:ind w:left="0" w:firstLine="720"/>
        <w:rPr/>
      </w:pPr>
      <w:r>
        <w:rPr/>
        <w:t xml:space="preserve"> </w:t>
      </w:r>
      <w:r>
        <w:rPr/>
        <w:t>1) издатке за израду пројектно-техничке документације на конту 5114 (осим уколико је иста већ израђена);</w:t>
      </w:r>
    </w:p>
    <w:p>
      <w:pPr>
        <w:pStyle w:val="ListParagraph"/>
        <w:ind w:left="0" w:firstLine="720"/>
        <w:rPr/>
      </w:pPr>
      <w:r>
        <w:rPr/>
        <w:t xml:space="preserve"> </w:t>
      </w:r>
      <w:r>
        <w:rPr/>
        <w:t xml:space="preserve">2) издатке за експропријацију земљишта на конту 5411; </w:t>
      </w:r>
    </w:p>
    <w:p>
      <w:pPr>
        <w:pStyle w:val="ListParagraph"/>
        <w:ind w:left="0" w:firstLine="720"/>
        <w:rPr/>
      </w:pPr>
      <w:r>
        <w:rPr/>
        <w:t xml:space="preserve">3) издатке за извођење радова на изградњи, односно извођење радова на капиталном одржавању на контима 5112 и 5113; </w:t>
      </w:r>
    </w:p>
    <w:p>
      <w:pPr>
        <w:pStyle w:val="ListParagraph"/>
        <w:ind w:left="0" w:firstLine="720"/>
        <w:rPr/>
      </w:pPr>
      <w:r>
        <w:rPr/>
        <w:t>4) издатке за ангажовање стручног надзора на конту 5114 (осим уколико исти нису планирани од стране инвеститора или на неки други начин).</w:t>
      </w:r>
    </w:p>
    <w:p>
      <w:pPr>
        <w:pStyle w:val="ListParagraph"/>
        <w:ind w:left="0" w:firstLine="720"/>
        <w:rPr/>
      </w:pPr>
      <w:r>
        <w:rPr/>
        <w:t xml:space="preserve"> </w:t>
      </w:r>
      <w:r>
        <w:rPr/>
        <w:t>Корисници су у обавези да, поред издатака за вишегодишње капиталне пројекте, у табели искажу и капиталне издатке за све једногодишње пројекте односно за пројекте чија реализација траје годину дана.</w:t>
      </w:r>
    </w:p>
    <w:p>
      <w:pPr>
        <w:pStyle w:val="ListParagraph"/>
        <w:ind w:left="0" w:firstLine="720"/>
        <w:rPr/>
      </w:pPr>
      <w:r>
        <w:rPr/>
        <w:t xml:space="preserve"> </w:t>
      </w:r>
      <w:r>
        <w:rPr/>
        <w:t>Такође, на основу свеобухватне процене потреба, пројекте је потребно рангирати по приоритетима, у складу са усвојеним стратешким документима, водећи рачуна да приоритет у финансирању имају већ започети пројекти.</w:t>
      </w:r>
    </w:p>
    <w:p>
      <w:pPr>
        <w:pStyle w:val="ListParagraph"/>
        <w:ind w:left="0" w:firstLine="720"/>
        <w:rPr/>
      </w:pPr>
      <w:r>
        <w:rPr/>
        <w:t xml:space="preserve"> </w:t>
      </w:r>
      <w:r>
        <w:rPr/>
        <w:t xml:space="preserve">Набавка роба и услуга и капитална улагања морају се вршити у складу са Законом о јавним набавкама. </w:t>
      </w:r>
    </w:p>
    <w:p>
      <w:pPr>
        <w:pStyle w:val="ListParagraph"/>
        <w:ind w:left="0" w:firstLine="720"/>
        <w:rPr/>
      </w:pPr>
      <w:r>
        <w:rPr/>
      </w:r>
    </w:p>
    <w:p>
      <w:pPr>
        <w:pStyle w:val="ListParagraph"/>
        <w:ind w:left="0" w:firstLine="720"/>
        <w:rPr/>
      </w:pPr>
      <w:r>
        <w:rPr/>
      </w:r>
    </w:p>
    <w:p>
      <w:pPr>
        <w:pStyle w:val="ListParagraph"/>
        <w:ind w:left="0" w:firstLine="720"/>
        <w:rPr/>
      </w:pPr>
      <w:r>
        <w:rPr>
          <w:b/>
        </w:rPr>
        <w:t xml:space="preserve"> </w:t>
      </w:r>
      <w:r>
        <w:rPr>
          <w:b/>
        </w:rPr>
        <w:t>II ОПИС ПЛАНИРАНЕ ПОЛИТИКЕ ОПШТИНЕ ЋИЋЕВАЦ ЗА 202</w:t>
      </w:r>
      <w:r>
        <w:rPr>
          <w:b/>
          <w:lang w:val="en-US"/>
        </w:rPr>
        <w:t>2</w:t>
      </w:r>
      <w:r>
        <w:rPr>
          <w:b/>
        </w:rPr>
        <w:t>. ГОДИНУ</w:t>
      </w:r>
      <w:r>
        <w:rPr/>
        <w:t xml:space="preserve"> </w:t>
      </w:r>
    </w:p>
    <w:p>
      <w:pPr>
        <w:pStyle w:val="ListParagraph"/>
        <w:ind w:left="0" w:firstLine="720"/>
        <w:rPr/>
      </w:pPr>
      <w:r>
        <w:rPr/>
      </w:r>
    </w:p>
    <w:p>
      <w:pPr>
        <w:pStyle w:val="ListParagraph"/>
        <w:ind w:left="0" w:firstLine="720"/>
        <w:rPr/>
      </w:pPr>
      <w:r>
        <w:rPr/>
        <w:t>Политика коју ће Општина Ћићевац водити у 202</w:t>
      </w:r>
      <w:r>
        <w:rPr/>
        <w:t>2</w:t>
      </w:r>
      <w:r>
        <w:rPr/>
        <w:t xml:space="preserve">. години, поред вршења законом утврђених надлежности, биће усмерена на остваривање стратешких циљева дефинисаних Стратегијом одрживог развоја Општине Ћићевац  2013. до 2022. Скупштина општине Ћићевац  на седници одржаној 15.03.2013. године, донела је Стратегију одрживог развоја Општине Ћићевац  2013–2022. година. Овај документ, али и друга усвојена стратешка, планска и програмска документа која се спроводе у средњорочном периоду представљају основ за успостављање везе између стратешког планирања и програмског буџета, те их у складу са датим обимом средстава треба имати у виду приликом имплементације у програмску структуру буџетског корисника. </w:t>
      </w:r>
    </w:p>
    <w:p>
      <w:pPr>
        <w:pStyle w:val="ListParagraph"/>
        <w:ind w:left="0" w:firstLine="720"/>
        <w:rPr/>
      </w:pPr>
      <w:r>
        <w:rPr/>
      </w:r>
    </w:p>
    <w:p>
      <w:pPr>
        <w:pStyle w:val="ListParagraph"/>
        <w:ind w:left="0" w:firstLine="720"/>
        <w:rPr/>
      </w:pPr>
      <w:r>
        <w:rPr/>
      </w:r>
    </w:p>
    <w:p>
      <w:pPr>
        <w:pStyle w:val="ListParagraph"/>
        <w:ind w:left="0" w:firstLine="720"/>
        <w:rPr/>
      </w:pPr>
      <w:r>
        <w:rPr>
          <w:b/>
        </w:rPr>
        <w:t>III ПРОЦЕНА ПРИХОДА И ПРИМАЊА И РАСХОДА И ИЗДАТАКА БУЏЕТА ОПШТИНЕ ЋИЋЕВАЦ  ЗА 20</w:t>
      </w:r>
      <w:r>
        <w:rPr>
          <w:b/>
          <w:lang w:val="sr-RS"/>
        </w:rPr>
        <w:t>2</w:t>
      </w:r>
      <w:r>
        <w:rPr>
          <w:b/>
          <w:lang w:val="en-US"/>
        </w:rPr>
        <w:t>2</w:t>
      </w:r>
      <w:r>
        <w:rPr>
          <w:b/>
        </w:rPr>
        <w:t>. ГОДИНУ И НАРЕДНЕ ДВЕ ФИСКАЛНЕ ГОДИНЕ</w:t>
      </w:r>
      <w:r>
        <w:rPr/>
        <w:t xml:space="preserve"> </w:t>
      </w:r>
    </w:p>
    <w:p>
      <w:pPr>
        <w:pStyle w:val="ListParagraph"/>
        <w:ind w:left="0" w:firstLine="720"/>
        <w:rPr/>
      </w:pPr>
      <w:r>
        <w:rPr/>
      </w:r>
    </w:p>
    <w:p>
      <w:pPr>
        <w:pStyle w:val="ListParagraph"/>
        <w:ind w:left="0" w:firstLine="720"/>
        <w:rPr/>
      </w:pPr>
      <w:r>
        <w:rPr/>
        <w:t>Законом о буџетском систему утврђено је да се пројектовање прихода и расхода врши за 202</w:t>
      </w:r>
      <w:r>
        <w:rPr>
          <w:lang w:val="sr-RS"/>
        </w:rPr>
        <w:t>2</w:t>
      </w:r>
      <w:r>
        <w:rPr/>
        <w:t>. годину и наредне две године (202</w:t>
      </w:r>
      <w:r>
        <w:rPr>
          <w:lang w:val="sr-RS"/>
        </w:rPr>
        <w:t>3</w:t>
      </w:r>
      <w:r>
        <w:rPr/>
        <w:t>.г. и 202</w:t>
      </w:r>
      <w:r>
        <w:rPr>
          <w:lang w:val="sr-RS"/>
        </w:rPr>
        <w:t>4</w:t>
      </w:r>
      <w:r>
        <w:rPr/>
        <w:t xml:space="preserve">.г.). </w:t>
      </w:r>
    </w:p>
    <w:p>
      <w:pPr>
        <w:pStyle w:val="ListParagraph"/>
        <w:ind w:left="0" w:firstLine="720"/>
        <w:rPr/>
      </w:pPr>
      <w:r>
        <w:rPr/>
        <w:t>Полазна основа за планирање обима буџета за 202</w:t>
      </w:r>
      <w:r>
        <w:rPr>
          <w:lang w:val="sr-RS"/>
        </w:rPr>
        <w:t>2</w:t>
      </w:r>
      <w:r>
        <w:rPr/>
        <w:t>. годину били су планирани приходи и примања из Одлуке о буџету општине Ћићевац за 20</w:t>
      </w:r>
      <w:r>
        <w:rPr>
          <w:lang w:val="sr-RS"/>
        </w:rPr>
        <w:t>2</w:t>
      </w:r>
      <w:r>
        <w:rPr>
          <w:lang w:val="sr-RS"/>
        </w:rPr>
        <w:t>1</w:t>
      </w:r>
      <w:r>
        <w:rPr/>
        <w:t xml:space="preserve">. годину (Сл. лист општине Ћићевац, број </w:t>
      </w:r>
      <w:r>
        <w:rPr>
          <w:rFonts w:eastAsia="Calibri" w:cs="" w:cstheme="minorBidi" w:eastAsiaTheme="minorHAnsi"/>
          <w:color w:val="auto"/>
          <w:kern w:val="0"/>
          <w:sz w:val="22"/>
          <w:szCs w:val="22"/>
          <w:lang w:val="sr-RS" w:eastAsia="en-US" w:bidi="ar-SA"/>
        </w:rPr>
        <w:t>34/20  и 11/21</w:t>
      </w:r>
      <w:r>
        <w:rPr>
          <w:color w:val="111111"/>
          <w:lang w:val="sr-RS"/>
        </w:rPr>
        <w:t>)</w:t>
      </w:r>
      <w:r>
        <w:rPr/>
        <w:t xml:space="preserve">, као и планирани расходи и издаци из исте Одлуке из извора 01 – Приходи из буџета. </w:t>
      </w:r>
    </w:p>
    <w:p>
      <w:pPr>
        <w:pStyle w:val="ListParagraph"/>
        <w:ind w:left="0" w:firstLine="720"/>
        <w:rPr/>
      </w:pPr>
      <w:r>
        <w:rPr/>
        <w:t xml:space="preserve"> </w:t>
      </w:r>
      <w:r>
        <w:rPr/>
        <w:t>Пројекција прихода и примања буџета општине Ћићевац за период 202</w:t>
      </w:r>
      <w:r>
        <w:rPr>
          <w:lang w:val="sr-RS"/>
        </w:rPr>
        <w:t>2</w:t>
      </w:r>
      <w:r>
        <w:rPr/>
        <w:t>-202</w:t>
      </w:r>
      <w:r>
        <w:rPr>
          <w:lang w:val="sr-RS"/>
        </w:rPr>
        <w:t>4</w:t>
      </w:r>
      <w:r>
        <w:rPr/>
        <w:t xml:space="preserve">. године, извршена је на следећи начин у динарима: </w:t>
      </w:r>
    </w:p>
    <w:p>
      <w:pPr>
        <w:pStyle w:val="ListParagraph"/>
        <w:ind w:left="0" w:firstLine="720"/>
        <w:rPr/>
      </w:pPr>
      <w:r>
        <w:rPr/>
      </w:r>
    </w:p>
    <w:p>
      <w:pPr>
        <w:pStyle w:val="ListParagraph"/>
        <w:ind w:left="0" w:firstLine="720"/>
        <w:rPr/>
      </w:pPr>
      <w:r>
        <w:rPr/>
        <w:t>Табела: Пројекција прихода и примања за 202</w:t>
      </w:r>
      <w:r>
        <w:rPr>
          <w:lang w:val="sr-RS"/>
        </w:rPr>
        <w:t>2</w:t>
      </w:r>
      <w:r>
        <w:rPr/>
        <w:t>-202</w:t>
      </w:r>
      <w:r>
        <w:rPr>
          <w:lang w:val="sr-RS"/>
        </w:rPr>
        <w:t>4</w:t>
      </w:r>
      <w:r>
        <w:rPr/>
        <w:t>.</w:t>
      </w:r>
    </w:p>
    <w:p>
      <w:pPr>
        <w:pStyle w:val="ListParagraph"/>
        <w:ind w:left="0" w:firstLine="720"/>
        <w:rPr/>
      </w:pPr>
      <w:r>
        <w:rPr/>
      </w:r>
    </w:p>
    <w:tbl>
      <w:tblPr>
        <w:tblStyle w:val="TableGrid"/>
        <w:tblW w:w="8103" w:type="dxa"/>
        <w:jc w:val="left"/>
        <w:tblInd w:w="0" w:type="dxa"/>
        <w:tblCellMar>
          <w:top w:w="0" w:type="dxa"/>
          <w:left w:w="108" w:type="dxa"/>
          <w:bottom w:w="0" w:type="dxa"/>
          <w:right w:w="108" w:type="dxa"/>
        </w:tblCellMar>
        <w:tblLook w:val="04a0"/>
      </w:tblPr>
      <w:tblGrid>
        <w:gridCol w:w="716"/>
        <w:gridCol w:w="2966"/>
        <w:gridCol w:w="1473"/>
        <w:gridCol w:w="1473"/>
        <w:gridCol w:w="1475"/>
      </w:tblGrid>
      <w:tr>
        <w:trPr>
          <w:trHeight w:val="260" w:hRule="atLeast"/>
        </w:trPr>
        <w:tc>
          <w:tcPr>
            <w:tcW w:w="716" w:type="dxa"/>
            <w:vMerge w:val="restart"/>
            <w:tcBorders/>
          </w:tcPr>
          <w:p>
            <w:pPr>
              <w:pStyle w:val="ListParagraph"/>
              <w:spacing w:lineRule="auto" w:line="240" w:before="0" w:after="0"/>
              <w:ind w:left="0" w:hanging="0"/>
              <w:contextualSpacing/>
              <w:rPr>
                <w:sz w:val="18"/>
                <w:szCs w:val="18"/>
              </w:rPr>
            </w:pPr>
            <w:r>
              <w:rPr>
                <w:sz w:val="18"/>
                <w:szCs w:val="18"/>
              </w:rPr>
              <w:t>Екон.</w:t>
            </w:r>
          </w:p>
          <w:p>
            <w:pPr>
              <w:pStyle w:val="ListParagraph"/>
              <w:spacing w:lineRule="auto" w:line="240" w:before="0" w:after="0"/>
              <w:ind w:left="0" w:hanging="0"/>
              <w:contextualSpacing/>
              <w:rPr>
                <w:sz w:val="18"/>
                <w:szCs w:val="18"/>
              </w:rPr>
            </w:pPr>
            <w:r>
              <w:rPr>
                <w:sz w:val="18"/>
                <w:szCs w:val="18"/>
              </w:rPr>
              <w:t>клас.</w:t>
            </w:r>
          </w:p>
        </w:tc>
        <w:tc>
          <w:tcPr>
            <w:tcW w:w="2966" w:type="dxa"/>
            <w:vMerge w:val="restart"/>
            <w:tcBorders/>
          </w:tcPr>
          <w:p>
            <w:pPr>
              <w:pStyle w:val="ListParagraph"/>
              <w:spacing w:lineRule="auto" w:line="240" w:before="0" w:after="0"/>
              <w:ind w:left="0" w:hanging="0"/>
              <w:contextualSpacing/>
              <w:jc w:val="center"/>
              <w:rPr>
                <w:sz w:val="18"/>
                <w:szCs w:val="18"/>
              </w:rPr>
            </w:pPr>
            <w:r>
              <w:rPr>
                <w:sz w:val="18"/>
                <w:szCs w:val="18"/>
              </w:rPr>
              <w:t>Врста прихода</w:t>
            </w:r>
          </w:p>
        </w:tc>
        <w:tc>
          <w:tcPr>
            <w:tcW w:w="4421" w:type="dxa"/>
            <w:gridSpan w:val="3"/>
            <w:tcBorders/>
          </w:tcPr>
          <w:p>
            <w:pPr>
              <w:pStyle w:val="ListParagraph"/>
              <w:spacing w:lineRule="auto" w:line="240" w:before="0" w:after="0"/>
              <w:ind w:left="0" w:hanging="0"/>
              <w:contextualSpacing/>
              <w:jc w:val="center"/>
              <w:rPr>
                <w:sz w:val="18"/>
                <w:szCs w:val="18"/>
              </w:rPr>
            </w:pPr>
            <w:r>
              <w:rPr>
                <w:sz w:val="18"/>
                <w:szCs w:val="18"/>
              </w:rPr>
              <w:t>Пројекција за</w:t>
            </w:r>
          </w:p>
        </w:tc>
      </w:tr>
      <w:tr>
        <w:trPr>
          <w:trHeight w:val="272" w:hRule="atLeast"/>
        </w:trPr>
        <w:tc>
          <w:tcPr>
            <w:tcW w:w="716" w:type="dxa"/>
            <w:vMerge w:val="continue"/>
            <w:tcBorders/>
          </w:tcPr>
          <w:p>
            <w:pPr>
              <w:pStyle w:val="ListParagraph"/>
              <w:spacing w:lineRule="auto" w:line="240" w:before="0" w:after="0"/>
              <w:ind w:left="0" w:hanging="0"/>
              <w:contextualSpacing/>
              <w:rPr>
                <w:sz w:val="18"/>
                <w:szCs w:val="18"/>
              </w:rPr>
            </w:pPr>
            <w:r>
              <w:rPr>
                <w:sz w:val="18"/>
                <w:szCs w:val="18"/>
              </w:rPr>
            </w:r>
          </w:p>
        </w:tc>
        <w:tc>
          <w:tcPr>
            <w:tcW w:w="2966" w:type="dxa"/>
            <w:vMerge w:val="continue"/>
            <w:tcBorders/>
          </w:tcPr>
          <w:p>
            <w:pPr>
              <w:pStyle w:val="ListParagraph"/>
              <w:spacing w:lineRule="auto" w:line="240" w:before="0" w:after="0"/>
              <w:ind w:left="0" w:hanging="0"/>
              <w:contextualSpacing/>
              <w:rPr>
                <w:sz w:val="18"/>
                <w:szCs w:val="18"/>
              </w:rPr>
            </w:pPr>
            <w:r>
              <w:rPr>
                <w:sz w:val="18"/>
                <w:szCs w:val="18"/>
              </w:rPr>
            </w:r>
          </w:p>
        </w:tc>
        <w:tc>
          <w:tcPr>
            <w:tcW w:w="1473" w:type="dxa"/>
            <w:tcBorders/>
          </w:tcPr>
          <w:p>
            <w:pPr>
              <w:pStyle w:val="ListParagraph"/>
              <w:spacing w:lineRule="auto" w:line="240" w:before="0" w:after="0"/>
              <w:ind w:left="0" w:hanging="0"/>
              <w:contextualSpacing/>
              <w:jc w:val="center"/>
              <w:rPr>
                <w:sz w:val="18"/>
                <w:szCs w:val="18"/>
              </w:rPr>
            </w:pPr>
            <w:r>
              <w:rPr>
                <w:b/>
                <w:bCs/>
                <w:sz w:val="18"/>
                <w:szCs w:val="18"/>
              </w:rPr>
              <w:t>202</w:t>
            </w:r>
            <w:r>
              <w:rPr>
                <w:b/>
                <w:bCs/>
                <w:sz w:val="18"/>
                <w:szCs w:val="18"/>
                <w:lang w:val="sr-RS"/>
              </w:rPr>
              <w:t>2.</w:t>
            </w:r>
          </w:p>
        </w:tc>
        <w:tc>
          <w:tcPr>
            <w:tcW w:w="2948" w:type="dxa"/>
            <w:gridSpan w:val="2"/>
            <w:tcBorders/>
          </w:tcPr>
          <w:p>
            <w:pPr>
              <w:pStyle w:val="ListParagraph"/>
              <w:spacing w:lineRule="auto" w:line="240" w:before="0" w:after="0"/>
              <w:ind w:left="0" w:hanging="0"/>
              <w:contextualSpacing/>
              <w:jc w:val="center"/>
              <w:rPr>
                <w:sz w:val="18"/>
                <w:szCs w:val="18"/>
              </w:rPr>
            </w:pPr>
            <w:r>
              <w:rPr>
                <w:b/>
                <w:bCs/>
                <w:sz w:val="18"/>
                <w:szCs w:val="18"/>
              </w:rPr>
              <w:t>202</w:t>
            </w:r>
            <w:r>
              <w:rPr>
                <w:b/>
                <w:bCs/>
                <w:sz w:val="18"/>
                <w:szCs w:val="18"/>
                <w:lang w:val="sr-RS"/>
              </w:rPr>
              <w:t>3.</w:t>
            </w:r>
            <w:r>
              <w:rPr>
                <w:b/>
                <w:bCs/>
                <w:sz w:val="18"/>
                <w:szCs w:val="18"/>
              </w:rPr>
              <w:t xml:space="preserve">                         202</w:t>
            </w:r>
            <w:r>
              <w:rPr>
                <w:b/>
                <w:bCs/>
                <w:sz w:val="18"/>
                <w:szCs w:val="18"/>
                <w:lang w:val="sr-RS"/>
              </w:rPr>
              <w:t>4.</w:t>
            </w:r>
          </w:p>
        </w:tc>
      </w:tr>
      <w:tr>
        <w:trPr/>
        <w:tc>
          <w:tcPr>
            <w:tcW w:w="716" w:type="dxa"/>
            <w:tcBorders/>
          </w:tcPr>
          <w:p>
            <w:pPr>
              <w:pStyle w:val="ListParagraph"/>
              <w:spacing w:lineRule="auto" w:line="240" w:before="0" w:after="0"/>
              <w:ind w:left="0" w:hanging="0"/>
              <w:contextualSpacing/>
              <w:rPr>
                <w:sz w:val="18"/>
                <w:szCs w:val="18"/>
              </w:rPr>
            </w:pPr>
            <w:r>
              <w:rPr>
                <w:sz w:val="18"/>
                <w:szCs w:val="18"/>
              </w:rPr>
              <w:t>71</w:t>
            </w:r>
          </w:p>
        </w:tc>
        <w:tc>
          <w:tcPr>
            <w:tcW w:w="2966" w:type="dxa"/>
            <w:tcBorders/>
          </w:tcPr>
          <w:p>
            <w:pPr>
              <w:pStyle w:val="ListParagraph"/>
              <w:spacing w:lineRule="auto" w:line="240" w:before="0" w:after="0"/>
              <w:ind w:left="0" w:hanging="0"/>
              <w:contextualSpacing/>
              <w:rPr>
                <w:sz w:val="18"/>
                <w:szCs w:val="18"/>
              </w:rPr>
            </w:pPr>
            <w:r>
              <w:rPr>
                <w:sz w:val="18"/>
                <w:szCs w:val="18"/>
              </w:rPr>
              <w:t>Порези</w:t>
            </w:r>
          </w:p>
        </w:tc>
        <w:tc>
          <w:tcPr>
            <w:tcW w:w="1473"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20</w:t>
            </w:r>
            <w:r>
              <w:rPr>
                <w:b w:val="false"/>
                <w:bCs w:val="false"/>
                <w:sz w:val="18"/>
                <w:szCs w:val="18"/>
              </w:rPr>
              <w:t>0.000.000</w:t>
            </w:r>
          </w:p>
        </w:tc>
        <w:tc>
          <w:tcPr>
            <w:tcW w:w="1473"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20</w:t>
            </w:r>
            <w:r>
              <w:rPr>
                <w:b w:val="false"/>
                <w:bCs w:val="false"/>
                <w:sz w:val="18"/>
                <w:szCs w:val="18"/>
              </w:rPr>
              <w:t>0.000.000</w:t>
            </w:r>
          </w:p>
        </w:tc>
        <w:tc>
          <w:tcPr>
            <w:tcW w:w="1475"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20</w:t>
            </w:r>
            <w:r>
              <w:rPr>
                <w:b w:val="false"/>
                <w:bCs w:val="false"/>
                <w:sz w:val="18"/>
                <w:szCs w:val="18"/>
              </w:rPr>
              <w:t>0.000.000</w:t>
            </w:r>
          </w:p>
        </w:tc>
      </w:tr>
      <w:tr>
        <w:trPr/>
        <w:tc>
          <w:tcPr>
            <w:tcW w:w="716" w:type="dxa"/>
            <w:tcBorders/>
          </w:tcPr>
          <w:p>
            <w:pPr>
              <w:pStyle w:val="ListParagraph"/>
              <w:spacing w:lineRule="auto" w:line="240" w:before="0" w:after="0"/>
              <w:ind w:left="0" w:hanging="0"/>
              <w:contextualSpacing/>
              <w:rPr>
                <w:sz w:val="18"/>
                <w:szCs w:val="18"/>
              </w:rPr>
            </w:pPr>
            <w:r>
              <w:rPr>
                <w:sz w:val="18"/>
                <w:szCs w:val="18"/>
              </w:rPr>
              <w:t>73</w:t>
            </w:r>
          </w:p>
        </w:tc>
        <w:tc>
          <w:tcPr>
            <w:tcW w:w="2966" w:type="dxa"/>
            <w:tcBorders/>
          </w:tcPr>
          <w:p>
            <w:pPr>
              <w:pStyle w:val="ListParagraph"/>
              <w:spacing w:lineRule="auto" w:line="240" w:before="0" w:after="0"/>
              <w:ind w:left="0" w:hanging="0"/>
              <w:contextualSpacing/>
              <w:rPr>
                <w:sz w:val="18"/>
                <w:szCs w:val="18"/>
              </w:rPr>
            </w:pPr>
            <w:r>
              <w:rPr>
                <w:sz w:val="18"/>
                <w:szCs w:val="18"/>
              </w:rPr>
              <w:t>Донације и трансфери</w:t>
            </w:r>
          </w:p>
        </w:tc>
        <w:tc>
          <w:tcPr>
            <w:tcW w:w="1473"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155.400</w:t>
            </w:r>
            <w:r>
              <w:rPr>
                <w:b w:val="false"/>
                <w:bCs w:val="false"/>
                <w:sz w:val="18"/>
                <w:szCs w:val="18"/>
              </w:rPr>
              <w:t>.000</w:t>
            </w:r>
          </w:p>
        </w:tc>
        <w:tc>
          <w:tcPr>
            <w:tcW w:w="1473"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155.400</w:t>
            </w:r>
            <w:r>
              <w:rPr>
                <w:b w:val="false"/>
                <w:bCs w:val="false"/>
                <w:sz w:val="18"/>
                <w:szCs w:val="18"/>
              </w:rPr>
              <w:t>.000</w:t>
            </w:r>
          </w:p>
        </w:tc>
        <w:tc>
          <w:tcPr>
            <w:tcW w:w="1475"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155.400</w:t>
            </w:r>
            <w:r>
              <w:rPr>
                <w:b w:val="false"/>
                <w:bCs w:val="false"/>
                <w:sz w:val="18"/>
                <w:szCs w:val="18"/>
              </w:rPr>
              <w:t>.000</w:t>
            </w:r>
          </w:p>
        </w:tc>
      </w:tr>
      <w:tr>
        <w:trPr/>
        <w:tc>
          <w:tcPr>
            <w:tcW w:w="716" w:type="dxa"/>
            <w:tcBorders/>
          </w:tcPr>
          <w:p>
            <w:pPr>
              <w:pStyle w:val="ListParagraph"/>
              <w:spacing w:lineRule="auto" w:line="240" w:before="0" w:after="0"/>
              <w:ind w:left="0" w:hanging="0"/>
              <w:contextualSpacing/>
              <w:rPr>
                <w:sz w:val="18"/>
                <w:szCs w:val="18"/>
              </w:rPr>
            </w:pPr>
            <w:r>
              <w:rPr>
                <w:sz w:val="18"/>
                <w:szCs w:val="18"/>
              </w:rPr>
              <w:t>74</w:t>
            </w:r>
          </w:p>
        </w:tc>
        <w:tc>
          <w:tcPr>
            <w:tcW w:w="2966" w:type="dxa"/>
            <w:tcBorders/>
          </w:tcPr>
          <w:p>
            <w:pPr>
              <w:pStyle w:val="ListParagraph"/>
              <w:spacing w:lineRule="auto" w:line="240" w:before="0" w:after="0"/>
              <w:ind w:left="0" w:hanging="0"/>
              <w:contextualSpacing/>
              <w:rPr>
                <w:sz w:val="18"/>
                <w:szCs w:val="18"/>
              </w:rPr>
            </w:pPr>
            <w:r>
              <w:rPr>
                <w:sz w:val="18"/>
                <w:szCs w:val="18"/>
              </w:rPr>
              <w:t>Други приходи</w:t>
            </w:r>
          </w:p>
        </w:tc>
        <w:tc>
          <w:tcPr>
            <w:tcW w:w="1473"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2</w:t>
            </w:r>
            <w:r>
              <w:rPr>
                <w:b w:val="false"/>
                <w:bCs w:val="false"/>
                <w:sz w:val="18"/>
                <w:szCs w:val="18"/>
                <w:lang w:val="sr-RS"/>
              </w:rPr>
              <w:t>0</w:t>
            </w:r>
            <w:r>
              <w:rPr>
                <w:b w:val="false"/>
                <w:bCs w:val="false"/>
                <w:sz w:val="18"/>
                <w:szCs w:val="18"/>
                <w:lang w:val="sr-RS"/>
              </w:rPr>
              <w:t>.000.000</w:t>
            </w:r>
          </w:p>
        </w:tc>
        <w:tc>
          <w:tcPr>
            <w:tcW w:w="1473"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2</w:t>
            </w:r>
            <w:r>
              <w:rPr>
                <w:b w:val="false"/>
                <w:bCs w:val="false"/>
                <w:sz w:val="18"/>
                <w:szCs w:val="18"/>
                <w:lang w:val="sr-RS"/>
              </w:rPr>
              <w:t>0</w:t>
            </w:r>
            <w:r>
              <w:rPr>
                <w:b w:val="false"/>
                <w:bCs w:val="false"/>
                <w:sz w:val="18"/>
                <w:szCs w:val="18"/>
                <w:lang w:val="sr-RS"/>
              </w:rPr>
              <w:t>.000.000</w:t>
            </w:r>
          </w:p>
        </w:tc>
        <w:tc>
          <w:tcPr>
            <w:tcW w:w="1475"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2</w:t>
            </w:r>
            <w:r>
              <w:rPr>
                <w:b w:val="false"/>
                <w:bCs w:val="false"/>
                <w:sz w:val="18"/>
                <w:szCs w:val="18"/>
                <w:lang w:val="sr-RS"/>
              </w:rPr>
              <w:t>0</w:t>
            </w:r>
            <w:r>
              <w:rPr>
                <w:b w:val="false"/>
                <w:bCs w:val="false"/>
                <w:sz w:val="18"/>
                <w:szCs w:val="18"/>
                <w:lang w:val="sr-RS"/>
              </w:rPr>
              <w:t>.000.000</w:t>
            </w:r>
          </w:p>
        </w:tc>
      </w:tr>
      <w:tr>
        <w:trPr/>
        <w:tc>
          <w:tcPr>
            <w:tcW w:w="716" w:type="dxa"/>
            <w:tcBorders/>
          </w:tcPr>
          <w:p>
            <w:pPr>
              <w:pStyle w:val="ListParagraph"/>
              <w:spacing w:lineRule="auto" w:line="240" w:before="0" w:after="0"/>
              <w:ind w:left="0" w:hanging="0"/>
              <w:contextualSpacing/>
              <w:rPr>
                <w:sz w:val="18"/>
                <w:szCs w:val="18"/>
              </w:rPr>
            </w:pPr>
            <w:r>
              <w:rPr>
                <w:sz w:val="18"/>
                <w:szCs w:val="18"/>
              </w:rPr>
              <w:t>77</w:t>
            </w:r>
          </w:p>
        </w:tc>
        <w:tc>
          <w:tcPr>
            <w:tcW w:w="2966" w:type="dxa"/>
            <w:tcBorders/>
          </w:tcPr>
          <w:p>
            <w:pPr>
              <w:pStyle w:val="ListParagraph"/>
              <w:spacing w:lineRule="auto" w:line="240" w:before="0" w:after="0"/>
              <w:ind w:left="0" w:hanging="0"/>
              <w:contextualSpacing/>
              <w:rPr>
                <w:sz w:val="18"/>
                <w:szCs w:val="18"/>
              </w:rPr>
            </w:pPr>
            <w:r>
              <w:rPr>
                <w:sz w:val="18"/>
                <w:szCs w:val="18"/>
              </w:rPr>
              <w:t>Меморандумске ставке</w:t>
            </w:r>
          </w:p>
        </w:tc>
        <w:tc>
          <w:tcPr>
            <w:tcW w:w="1473"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2</w:t>
            </w:r>
            <w:r>
              <w:rPr>
                <w:b w:val="false"/>
                <w:bCs w:val="false"/>
                <w:sz w:val="18"/>
                <w:szCs w:val="18"/>
              </w:rPr>
              <w:t>.000.000</w:t>
            </w:r>
          </w:p>
        </w:tc>
        <w:tc>
          <w:tcPr>
            <w:tcW w:w="1473"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2</w:t>
            </w:r>
            <w:r>
              <w:rPr>
                <w:b w:val="false"/>
                <w:bCs w:val="false"/>
                <w:sz w:val="18"/>
                <w:szCs w:val="18"/>
              </w:rPr>
              <w:t>.000.000</w:t>
            </w:r>
          </w:p>
        </w:tc>
        <w:tc>
          <w:tcPr>
            <w:tcW w:w="1475"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2</w:t>
            </w:r>
            <w:r>
              <w:rPr>
                <w:b w:val="false"/>
                <w:bCs w:val="false"/>
                <w:sz w:val="18"/>
                <w:szCs w:val="18"/>
              </w:rPr>
              <w:t>.000.000</w:t>
            </w:r>
          </w:p>
        </w:tc>
      </w:tr>
      <w:tr>
        <w:trPr/>
        <w:tc>
          <w:tcPr>
            <w:tcW w:w="716" w:type="dxa"/>
            <w:tcBorders/>
          </w:tcPr>
          <w:p>
            <w:pPr>
              <w:pStyle w:val="ListParagraph"/>
              <w:spacing w:lineRule="auto" w:line="240" w:before="0" w:after="0"/>
              <w:ind w:left="0" w:hanging="0"/>
              <w:contextualSpacing/>
              <w:rPr>
                <w:sz w:val="18"/>
                <w:szCs w:val="18"/>
              </w:rPr>
            </w:pPr>
            <w:r>
              <w:rPr>
                <w:sz w:val="18"/>
                <w:szCs w:val="18"/>
              </w:rPr>
              <w:t>8</w:t>
            </w:r>
          </w:p>
        </w:tc>
        <w:tc>
          <w:tcPr>
            <w:tcW w:w="2966" w:type="dxa"/>
            <w:tcBorders/>
          </w:tcPr>
          <w:p>
            <w:pPr>
              <w:pStyle w:val="ListParagraph"/>
              <w:spacing w:lineRule="auto" w:line="240" w:before="0" w:after="0"/>
              <w:ind w:left="0" w:hanging="0"/>
              <w:contextualSpacing/>
              <w:rPr>
                <w:sz w:val="18"/>
                <w:szCs w:val="18"/>
              </w:rPr>
            </w:pPr>
            <w:r>
              <w:rPr>
                <w:sz w:val="18"/>
                <w:szCs w:val="18"/>
              </w:rPr>
              <w:t>Примања од продаје нефинансијске имовине</w:t>
            </w:r>
          </w:p>
        </w:tc>
        <w:tc>
          <w:tcPr>
            <w:tcW w:w="1473" w:type="dxa"/>
            <w:tcBorders/>
          </w:tcPr>
          <w:p>
            <w:pPr>
              <w:pStyle w:val="ListParagraph"/>
              <w:spacing w:lineRule="auto" w:line="240" w:before="0" w:after="0"/>
              <w:ind w:left="0" w:hanging="0"/>
              <w:contextualSpacing/>
              <w:jc w:val="right"/>
              <w:rPr>
                <w:sz w:val="18"/>
                <w:szCs w:val="18"/>
              </w:rPr>
            </w:pPr>
            <w:r>
              <w:rPr>
                <w:b w:val="false"/>
                <w:bCs w:val="false"/>
                <w:sz w:val="18"/>
                <w:szCs w:val="18"/>
              </w:rPr>
              <w:t>1.000.000</w:t>
            </w:r>
          </w:p>
        </w:tc>
        <w:tc>
          <w:tcPr>
            <w:tcW w:w="1473" w:type="dxa"/>
            <w:tcBorders/>
          </w:tcPr>
          <w:p>
            <w:pPr>
              <w:pStyle w:val="ListParagraph"/>
              <w:spacing w:lineRule="auto" w:line="240" w:before="0" w:after="0"/>
              <w:ind w:left="0" w:hanging="0"/>
              <w:contextualSpacing/>
              <w:jc w:val="right"/>
              <w:rPr>
                <w:sz w:val="18"/>
                <w:szCs w:val="18"/>
              </w:rPr>
            </w:pPr>
            <w:r>
              <w:rPr>
                <w:b w:val="false"/>
                <w:bCs w:val="false"/>
                <w:sz w:val="18"/>
                <w:szCs w:val="18"/>
              </w:rPr>
              <w:t>1.000.000</w:t>
            </w:r>
          </w:p>
        </w:tc>
        <w:tc>
          <w:tcPr>
            <w:tcW w:w="1475" w:type="dxa"/>
            <w:tcBorders/>
          </w:tcPr>
          <w:p>
            <w:pPr>
              <w:pStyle w:val="ListParagraph"/>
              <w:spacing w:lineRule="auto" w:line="240" w:before="0" w:after="0"/>
              <w:ind w:left="0" w:hanging="0"/>
              <w:contextualSpacing/>
              <w:jc w:val="right"/>
              <w:rPr>
                <w:sz w:val="18"/>
                <w:szCs w:val="18"/>
              </w:rPr>
            </w:pPr>
            <w:r>
              <w:rPr>
                <w:b w:val="false"/>
                <w:bCs w:val="false"/>
                <w:sz w:val="18"/>
                <w:szCs w:val="18"/>
              </w:rPr>
              <w:t>1.000.000</w:t>
            </w:r>
          </w:p>
        </w:tc>
      </w:tr>
      <w:tr>
        <w:trPr/>
        <w:tc>
          <w:tcPr>
            <w:tcW w:w="716" w:type="dxa"/>
            <w:tcBorders/>
          </w:tcPr>
          <w:p>
            <w:pPr>
              <w:pStyle w:val="ListParagraph"/>
              <w:spacing w:lineRule="auto" w:line="240" w:before="0" w:after="0"/>
              <w:ind w:left="0" w:hanging="0"/>
              <w:contextualSpacing/>
              <w:rPr>
                <w:sz w:val="18"/>
                <w:szCs w:val="18"/>
              </w:rPr>
            </w:pPr>
            <w:r>
              <w:rPr>
                <w:sz w:val="18"/>
                <w:szCs w:val="18"/>
              </w:rPr>
              <w:t>9</w:t>
            </w:r>
          </w:p>
        </w:tc>
        <w:tc>
          <w:tcPr>
            <w:tcW w:w="2966" w:type="dxa"/>
            <w:tcBorders/>
          </w:tcPr>
          <w:p>
            <w:pPr>
              <w:pStyle w:val="ListParagraph"/>
              <w:spacing w:lineRule="auto" w:line="240" w:before="0" w:after="0"/>
              <w:ind w:left="0" w:hanging="0"/>
              <w:contextualSpacing/>
              <w:rPr>
                <w:sz w:val="18"/>
                <w:szCs w:val="18"/>
              </w:rPr>
            </w:pPr>
            <w:r>
              <w:rPr>
                <w:sz w:val="18"/>
                <w:szCs w:val="18"/>
              </w:rPr>
              <w:t>Примања од задуживање</w:t>
            </w:r>
          </w:p>
        </w:tc>
        <w:tc>
          <w:tcPr>
            <w:tcW w:w="1473"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17.50</w:t>
            </w:r>
            <w:r>
              <w:rPr>
                <w:b w:val="false"/>
                <w:bCs w:val="false"/>
                <w:sz w:val="18"/>
                <w:szCs w:val="18"/>
              </w:rPr>
              <w:t>0.000</w:t>
            </w:r>
          </w:p>
        </w:tc>
        <w:tc>
          <w:tcPr>
            <w:tcW w:w="1473"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17.50</w:t>
            </w:r>
            <w:r>
              <w:rPr>
                <w:b w:val="false"/>
                <w:bCs w:val="false"/>
                <w:sz w:val="18"/>
                <w:szCs w:val="18"/>
              </w:rPr>
              <w:t>0.000</w:t>
            </w:r>
          </w:p>
        </w:tc>
        <w:tc>
          <w:tcPr>
            <w:tcW w:w="1475"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17.50</w:t>
            </w:r>
            <w:r>
              <w:rPr>
                <w:b w:val="false"/>
                <w:bCs w:val="false"/>
                <w:sz w:val="18"/>
                <w:szCs w:val="18"/>
              </w:rPr>
              <w:t>0.000</w:t>
            </w:r>
          </w:p>
        </w:tc>
      </w:tr>
      <w:tr>
        <w:trPr/>
        <w:tc>
          <w:tcPr>
            <w:tcW w:w="716" w:type="dxa"/>
            <w:tcBorders/>
          </w:tcPr>
          <w:p>
            <w:pPr>
              <w:pStyle w:val="ListParagraph"/>
              <w:spacing w:lineRule="auto" w:line="240" w:before="0" w:after="0"/>
              <w:ind w:left="0" w:hanging="0"/>
              <w:contextualSpacing/>
              <w:rPr>
                <w:sz w:val="18"/>
                <w:szCs w:val="18"/>
              </w:rPr>
            </w:pPr>
            <w:r>
              <w:rPr>
                <w:sz w:val="18"/>
                <w:szCs w:val="18"/>
              </w:rPr>
            </w:r>
          </w:p>
        </w:tc>
        <w:tc>
          <w:tcPr>
            <w:tcW w:w="2966" w:type="dxa"/>
            <w:tcBorders/>
          </w:tcPr>
          <w:p>
            <w:pPr>
              <w:pStyle w:val="ListParagraph"/>
              <w:spacing w:lineRule="auto" w:line="240" w:before="0" w:after="0"/>
              <w:ind w:left="0" w:hanging="0"/>
              <w:contextualSpacing/>
              <w:rPr>
                <w:sz w:val="18"/>
                <w:szCs w:val="18"/>
              </w:rPr>
            </w:pPr>
            <w:r>
              <w:rPr>
                <w:sz w:val="18"/>
                <w:szCs w:val="18"/>
              </w:rPr>
              <w:t>Укупни приходи и примања:</w:t>
            </w:r>
          </w:p>
        </w:tc>
        <w:tc>
          <w:tcPr>
            <w:tcW w:w="1473"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395.900.000</w:t>
            </w:r>
          </w:p>
        </w:tc>
        <w:tc>
          <w:tcPr>
            <w:tcW w:w="1473"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395.900.000</w:t>
            </w:r>
          </w:p>
        </w:tc>
        <w:tc>
          <w:tcPr>
            <w:tcW w:w="1475"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395.900.000</w:t>
            </w:r>
          </w:p>
        </w:tc>
      </w:tr>
    </w:tbl>
    <w:p>
      <w:pPr>
        <w:pStyle w:val="ListParagraph"/>
        <w:ind w:left="0" w:firstLine="720"/>
        <w:rPr/>
      </w:pPr>
      <w:r>
        <w:rPr/>
      </w:r>
    </w:p>
    <w:p>
      <w:pPr>
        <w:pStyle w:val="ListParagraph"/>
        <w:ind w:left="0" w:firstLine="720"/>
        <w:rPr/>
      </w:pPr>
      <w:r>
        <w:rPr/>
      </w:r>
    </w:p>
    <w:p>
      <w:pPr>
        <w:pStyle w:val="ListParagraph"/>
        <w:ind w:left="0" w:firstLine="720"/>
        <w:rPr/>
      </w:pPr>
      <w:r>
        <w:rPr/>
        <w:t>Пројекција расхода и издатака буџета општине Ћићевац  за период 202</w:t>
      </w:r>
      <w:r>
        <w:rPr>
          <w:lang w:val="sr-RS"/>
        </w:rPr>
        <w:t>1</w:t>
      </w:r>
      <w:r>
        <w:rPr/>
        <w:t>-20</w:t>
      </w:r>
      <w:r>
        <w:rPr>
          <w:lang w:val="sr-RS"/>
        </w:rPr>
        <w:t>23</w:t>
      </w:r>
      <w:r>
        <w:rPr/>
        <w:t xml:space="preserve"> године, извршена је на следећи начин у динарима: </w:t>
      </w:r>
    </w:p>
    <w:p>
      <w:pPr>
        <w:pStyle w:val="ListParagraph"/>
        <w:ind w:left="0" w:firstLine="720"/>
        <w:rPr/>
      </w:pPr>
      <w:r>
        <w:rPr/>
      </w:r>
    </w:p>
    <w:p>
      <w:pPr>
        <w:pStyle w:val="ListParagraph"/>
        <w:ind w:left="0" w:firstLine="720"/>
        <w:rPr/>
      </w:pPr>
      <w:r>
        <w:rPr/>
      </w:r>
    </w:p>
    <w:p>
      <w:pPr>
        <w:pStyle w:val="ListParagraph"/>
        <w:ind w:left="0" w:firstLine="720"/>
        <w:rPr/>
      </w:pPr>
      <w:r>
        <w:rPr/>
        <w:t>Табела: Пројекција расхода и издатака за 202</w:t>
      </w:r>
      <w:r>
        <w:rPr>
          <w:lang w:val="sr-RS"/>
        </w:rPr>
        <w:t>2</w:t>
      </w:r>
      <w:r>
        <w:rPr/>
        <w:t>-202</w:t>
      </w:r>
      <w:r>
        <w:rPr>
          <w:lang w:val="sr-RS"/>
        </w:rPr>
        <w:t>4</w:t>
      </w:r>
      <w:r>
        <w:rPr/>
        <w:t>.</w:t>
      </w:r>
    </w:p>
    <w:p>
      <w:pPr>
        <w:pStyle w:val="ListParagraph"/>
        <w:ind w:left="0" w:firstLine="720"/>
        <w:rPr/>
      </w:pPr>
      <w:r>
        <w:rPr/>
      </w:r>
    </w:p>
    <w:tbl>
      <w:tblPr>
        <w:tblStyle w:val="TableGrid"/>
        <w:tblW w:w="8193" w:type="dxa"/>
        <w:jc w:val="left"/>
        <w:tblInd w:w="0" w:type="dxa"/>
        <w:tblCellMar>
          <w:top w:w="0" w:type="dxa"/>
          <w:left w:w="108" w:type="dxa"/>
          <w:bottom w:w="0" w:type="dxa"/>
          <w:right w:w="108" w:type="dxa"/>
        </w:tblCellMar>
        <w:tblLook w:val="04a0"/>
      </w:tblPr>
      <w:tblGrid>
        <w:gridCol w:w="770"/>
        <w:gridCol w:w="2975"/>
        <w:gridCol w:w="1480"/>
        <w:gridCol w:w="1485"/>
        <w:gridCol w:w="1483"/>
      </w:tblGrid>
      <w:tr>
        <w:trPr>
          <w:trHeight w:val="260" w:hRule="atLeast"/>
        </w:trPr>
        <w:tc>
          <w:tcPr>
            <w:tcW w:w="770" w:type="dxa"/>
            <w:vMerge w:val="restart"/>
            <w:tcBorders/>
          </w:tcPr>
          <w:p>
            <w:pPr>
              <w:pStyle w:val="ListParagraph"/>
              <w:spacing w:lineRule="auto" w:line="240" w:before="0" w:after="0"/>
              <w:ind w:left="0" w:hanging="0"/>
              <w:contextualSpacing/>
              <w:rPr>
                <w:sz w:val="18"/>
                <w:szCs w:val="18"/>
              </w:rPr>
            </w:pPr>
            <w:r>
              <w:rPr>
                <w:sz w:val="18"/>
                <w:szCs w:val="18"/>
              </w:rPr>
              <w:t>Ек.</w:t>
            </w:r>
          </w:p>
          <w:p>
            <w:pPr>
              <w:pStyle w:val="ListParagraph"/>
              <w:spacing w:lineRule="auto" w:line="240" w:before="0" w:after="0"/>
              <w:ind w:left="0" w:hanging="0"/>
              <w:contextualSpacing/>
              <w:rPr>
                <w:sz w:val="18"/>
                <w:szCs w:val="18"/>
              </w:rPr>
            </w:pPr>
            <w:r>
              <w:rPr>
                <w:sz w:val="18"/>
                <w:szCs w:val="18"/>
              </w:rPr>
              <w:t>клас.</w:t>
            </w:r>
          </w:p>
        </w:tc>
        <w:tc>
          <w:tcPr>
            <w:tcW w:w="2975" w:type="dxa"/>
            <w:vMerge w:val="restart"/>
            <w:tcBorders/>
          </w:tcPr>
          <w:p>
            <w:pPr>
              <w:pStyle w:val="ListParagraph"/>
              <w:spacing w:lineRule="auto" w:line="240" w:before="0" w:after="0"/>
              <w:ind w:left="0" w:hanging="0"/>
              <w:contextualSpacing/>
              <w:jc w:val="center"/>
              <w:rPr>
                <w:sz w:val="18"/>
                <w:szCs w:val="18"/>
              </w:rPr>
            </w:pPr>
            <w:r>
              <w:rPr>
                <w:sz w:val="18"/>
                <w:szCs w:val="18"/>
              </w:rPr>
              <w:t>Опис</w:t>
            </w:r>
          </w:p>
        </w:tc>
        <w:tc>
          <w:tcPr>
            <w:tcW w:w="4448" w:type="dxa"/>
            <w:gridSpan w:val="3"/>
            <w:tcBorders/>
          </w:tcPr>
          <w:p>
            <w:pPr>
              <w:pStyle w:val="ListParagraph"/>
              <w:spacing w:lineRule="auto" w:line="240" w:before="0" w:after="0"/>
              <w:ind w:left="0" w:hanging="0"/>
              <w:contextualSpacing/>
              <w:jc w:val="center"/>
              <w:rPr>
                <w:sz w:val="18"/>
                <w:szCs w:val="18"/>
              </w:rPr>
            </w:pPr>
            <w:r>
              <w:rPr>
                <w:sz w:val="18"/>
                <w:szCs w:val="18"/>
              </w:rPr>
              <w:t>Пројекција за</w:t>
            </w:r>
          </w:p>
        </w:tc>
      </w:tr>
      <w:tr>
        <w:trPr>
          <w:trHeight w:val="272" w:hRule="atLeast"/>
        </w:trPr>
        <w:tc>
          <w:tcPr>
            <w:tcW w:w="770" w:type="dxa"/>
            <w:vMerge w:val="continue"/>
            <w:tcBorders/>
          </w:tcPr>
          <w:p>
            <w:pPr>
              <w:pStyle w:val="ListParagraph"/>
              <w:spacing w:lineRule="auto" w:line="240" w:before="0" w:after="0"/>
              <w:ind w:left="0" w:hanging="0"/>
              <w:contextualSpacing/>
              <w:rPr>
                <w:sz w:val="18"/>
                <w:szCs w:val="18"/>
              </w:rPr>
            </w:pPr>
            <w:r>
              <w:rPr>
                <w:sz w:val="18"/>
                <w:szCs w:val="18"/>
              </w:rPr>
            </w:r>
          </w:p>
        </w:tc>
        <w:tc>
          <w:tcPr>
            <w:tcW w:w="2975" w:type="dxa"/>
            <w:vMerge w:val="continue"/>
            <w:tcBorders/>
          </w:tcPr>
          <w:p>
            <w:pPr>
              <w:pStyle w:val="ListParagraph"/>
              <w:spacing w:lineRule="auto" w:line="240" w:before="0" w:after="0"/>
              <w:ind w:left="0" w:hanging="0"/>
              <w:contextualSpacing/>
              <w:rPr>
                <w:sz w:val="18"/>
                <w:szCs w:val="18"/>
              </w:rPr>
            </w:pPr>
            <w:r>
              <w:rPr>
                <w:sz w:val="18"/>
                <w:szCs w:val="18"/>
              </w:rPr>
            </w:r>
          </w:p>
        </w:tc>
        <w:tc>
          <w:tcPr>
            <w:tcW w:w="1480" w:type="dxa"/>
            <w:tcBorders/>
          </w:tcPr>
          <w:p>
            <w:pPr>
              <w:pStyle w:val="ListParagraph"/>
              <w:spacing w:lineRule="auto" w:line="240" w:before="0" w:after="0"/>
              <w:ind w:left="0" w:hanging="0"/>
              <w:contextualSpacing/>
              <w:jc w:val="center"/>
              <w:rPr>
                <w:sz w:val="18"/>
                <w:szCs w:val="18"/>
              </w:rPr>
            </w:pPr>
            <w:r>
              <w:rPr>
                <w:sz w:val="18"/>
                <w:szCs w:val="18"/>
              </w:rPr>
              <w:t>20</w:t>
            </w:r>
            <w:r>
              <w:rPr>
                <w:sz w:val="18"/>
                <w:szCs w:val="18"/>
                <w:lang w:val="sr-RS"/>
              </w:rPr>
              <w:t>2</w:t>
            </w:r>
            <w:r>
              <w:rPr>
                <w:sz w:val="18"/>
                <w:szCs w:val="18"/>
                <w:lang w:val="sr-RS"/>
              </w:rPr>
              <w:t>2.</w:t>
            </w:r>
          </w:p>
        </w:tc>
        <w:tc>
          <w:tcPr>
            <w:tcW w:w="2968" w:type="dxa"/>
            <w:gridSpan w:val="2"/>
            <w:tcBorders/>
          </w:tcPr>
          <w:p>
            <w:pPr>
              <w:pStyle w:val="ListParagraph"/>
              <w:spacing w:lineRule="auto" w:line="240" w:before="0" w:after="0"/>
              <w:ind w:left="0" w:hanging="0"/>
              <w:contextualSpacing/>
              <w:jc w:val="center"/>
              <w:rPr>
                <w:sz w:val="18"/>
                <w:szCs w:val="18"/>
              </w:rPr>
            </w:pPr>
            <w:r>
              <w:rPr>
                <w:sz w:val="18"/>
                <w:szCs w:val="18"/>
              </w:rPr>
              <w:t>202</w:t>
            </w:r>
            <w:r>
              <w:rPr>
                <w:sz w:val="18"/>
                <w:szCs w:val="18"/>
                <w:lang w:val="sr-RS"/>
              </w:rPr>
              <w:t>3.</w:t>
            </w:r>
            <w:r>
              <w:rPr>
                <w:sz w:val="18"/>
                <w:szCs w:val="18"/>
              </w:rPr>
              <w:t xml:space="preserve">                          202</w:t>
            </w:r>
            <w:r>
              <w:rPr>
                <w:sz w:val="18"/>
                <w:szCs w:val="18"/>
                <w:lang w:val="sr-RS"/>
              </w:rPr>
              <w:t>4.</w:t>
            </w:r>
          </w:p>
        </w:tc>
      </w:tr>
      <w:tr>
        <w:trPr/>
        <w:tc>
          <w:tcPr>
            <w:tcW w:w="770" w:type="dxa"/>
            <w:tcBorders/>
          </w:tcPr>
          <w:p>
            <w:pPr>
              <w:pStyle w:val="ListParagraph"/>
              <w:spacing w:lineRule="auto" w:line="240" w:before="0" w:after="0"/>
              <w:ind w:left="0" w:hanging="0"/>
              <w:contextualSpacing/>
              <w:rPr>
                <w:sz w:val="18"/>
                <w:szCs w:val="18"/>
              </w:rPr>
            </w:pPr>
            <w:r>
              <w:rPr>
                <w:sz w:val="18"/>
                <w:szCs w:val="18"/>
              </w:rPr>
              <w:t>41</w:t>
            </w:r>
          </w:p>
        </w:tc>
        <w:tc>
          <w:tcPr>
            <w:tcW w:w="2975" w:type="dxa"/>
            <w:tcBorders/>
          </w:tcPr>
          <w:p>
            <w:pPr>
              <w:pStyle w:val="ListParagraph"/>
              <w:spacing w:lineRule="auto" w:line="240" w:before="0" w:after="0"/>
              <w:ind w:left="0" w:hanging="0"/>
              <w:contextualSpacing/>
              <w:rPr>
                <w:sz w:val="18"/>
                <w:szCs w:val="18"/>
              </w:rPr>
            </w:pPr>
            <w:r>
              <w:rPr>
                <w:sz w:val="18"/>
                <w:szCs w:val="18"/>
              </w:rPr>
              <w:t>Расходи за запослене</w:t>
            </w:r>
          </w:p>
        </w:tc>
        <w:tc>
          <w:tcPr>
            <w:tcW w:w="1480"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1</w:t>
            </w:r>
            <w:r>
              <w:rPr>
                <w:b w:val="false"/>
                <w:bCs w:val="false"/>
                <w:sz w:val="18"/>
                <w:szCs w:val="18"/>
                <w:lang w:val="sr-RS"/>
              </w:rPr>
              <w:t>07</w:t>
            </w:r>
            <w:r>
              <w:rPr>
                <w:b w:val="false"/>
                <w:bCs w:val="false"/>
                <w:sz w:val="18"/>
                <w:szCs w:val="18"/>
                <w:lang w:val="sr-RS"/>
              </w:rPr>
              <w:t>.000.000</w:t>
            </w:r>
          </w:p>
        </w:tc>
        <w:tc>
          <w:tcPr>
            <w:tcW w:w="1485"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1</w:t>
            </w:r>
            <w:r>
              <w:rPr>
                <w:b w:val="false"/>
                <w:bCs w:val="false"/>
                <w:sz w:val="18"/>
                <w:szCs w:val="18"/>
                <w:lang w:val="sr-RS"/>
              </w:rPr>
              <w:t>07</w:t>
            </w:r>
            <w:r>
              <w:rPr>
                <w:b w:val="false"/>
                <w:bCs w:val="false"/>
                <w:sz w:val="18"/>
                <w:szCs w:val="18"/>
                <w:lang w:val="sr-RS"/>
              </w:rPr>
              <w:t>.000.000</w:t>
            </w:r>
          </w:p>
        </w:tc>
        <w:tc>
          <w:tcPr>
            <w:tcW w:w="1483"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1</w:t>
            </w:r>
            <w:r>
              <w:rPr>
                <w:b w:val="false"/>
                <w:bCs w:val="false"/>
                <w:sz w:val="18"/>
                <w:szCs w:val="18"/>
                <w:lang w:val="sr-RS"/>
              </w:rPr>
              <w:t>07</w:t>
            </w:r>
            <w:r>
              <w:rPr>
                <w:b w:val="false"/>
                <w:bCs w:val="false"/>
                <w:sz w:val="18"/>
                <w:szCs w:val="18"/>
                <w:lang w:val="sr-RS"/>
              </w:rPr>
              <w:t>.000.000</w:t>
            </w:r>
          </w:p>
        </w:tc>
      </w:tr>
      <w:tr>
        <w:trPr/>
        <w:tc>
          <w:tcPr>
            <w:tcW w:w="770" w:type="dxa"/>
            <w:tcBorders/>
          </w:tcPr>
          <w:p>
            <w:pPr>
              <w:pStyle w:val="ListParagraph"/>
              <w:spacing w:lineRule="auto" w:line="240" w:before="0" w:after="0"/>
              <w:ind w:left="0" w:hanging="0"/>
              <w:contextualSpacing/>
              <w:rPr>
                <w:sz w:val="18"/>
                <w:szCs w:val="18"/>
              </w:rPr>
            </w:pPr>
            <w:r>
              <w:rPr>
                <w:sz w:val="18"/>
                <w:szCs w:val="18"/>
              </w:rPr>
              <w:t>42</w:t>
            </w:r>
          </w:p>
        </w:tc>
        <w:tc>
          <w:tcPr>
            <w:tcW w:w="2975" w:type="dxa"/>
            <w:tcBorders/>
          </w:tcPr>
          <w:p>
            <w:pPr>
              <w:pStyle w:val="ListParagraph"/>
              <w:spacing w:lineRule="auto" w:line="240" w:before="0" w:after="0"/>
              <w:ind w:left="0" w:hanging="0"/>
              <w:contextualSpacing/>
              <w:rPr>
                <w:sz w:val="18"/>
                <w:szCs w:val="18"/>
              </w:rPr>
            </w:pPr>
            <w:r>
              <w:rPr>
                <w:sz w:val="18"/>
                <w:szCs w:val="18"/>
              </w:rPr>
              <w:t>Коришћење услуга и роба</w:t>
            </w:r>
          </w:p>
        </w:tc>
        <w:tc>
          <w:tcPr>
            <w:tcW w:w="1480"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12</w:t>
            </w:r>
            <w:r>
              <w:rPr>
                <w:b w:val="false"/>
                <w:bCs w:val="false"/>
                <w:sz w:val="18"/>
                <w:szCs w:val="18"/>
                <w:lang w:val="sr-RS"/>
              </w:rPr>
              <w:t>3</w:t>
            </w:r>
            <w:r>
              <w:rPr>
                <w:b w:val="false"/>
                <w:bCs w:val="false"/>
                <w:sz w:val="18"/>
                <w:szCs w:val="18"/>
              </w:rPr>
              <w:t>.000.000</w:t>
            </w:r>
          </w:p>
        </w:tc>
        <w:tc>
          <w:tcPr>
            <w:tcW w:w="1485"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12</w:t>
            </w:r>
            <w:r>
              <w:rPr>
                <w:b w:val="false"/>
                <w:bCs w:val="false"/>
                <w:sz w:val="18"/>
                <w:szCs w:val="18"/>
                <w:lang w:val="sr-RS"/>
              </w:rPr>
              <w:t>3</w:t>
            </w:r>
            <w:r>
              <w:rPr>
                <w:b w:val="false"/>
                <w:bCs w:val="false"/>
                <w:sz w:val="18"/>
                <w:szCs w:val="18"/>
              </w:rPr>
              <w:t>.000.000</w:t>
            </w:r>
          </w:p>
        </w:tc>
        <w:tc>
          <w:tcPr>
            <w:tcW w:w="1483"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12</w:t>
            </w:r>
            <w:r>
              <w:rPr>
                <w:b w:val="false"/>
                <w:bCs w:val="false"/>
                <w:sz w:val="18"/>
                <w:szCs w:val="18"/>
                <w:lang w:val="sr-RS"/>
              </w:rPr>
              <w:t>3</w:t>
            </w:r>
            <w:r>
              <w:rPr>
                <w:b w:val="false"/>
                <w:bCs w:val="false"/>
                <w:sz w:val="18"/>
                <w:szCs w:val="18"/>
              </w:rPr>
              <w:t>.000.000</w:t>
            </w:r>
          </w:p>
        </w:tc>
      </w:tr>
      <w:tr>
        <w:trPr/>
        <w:tc>
          <w:tcPr>
            <w:tcW w:w="770" w:type="dxa"/>
            <w:tcBorders/>
          </w:tcPr>
          <w:p>
            <w:pPr>
              <w:pStyle w:val="ListParagraph"/>
              <w:spacing w:lineRule="auto" w:line="240" w:before="0" w:after="0"/>
              <w:ind w:left="0" w:hanging="0"/>
              <w:contextualSpacing/>
              <w:rPr>
                <w:sz w:val="18"/>
                <w:szCs w:val="18"/>
              </w:rPr>
            </w:pPr>
            <w:r>
              <w:rPr>
                <w:sz w:val="18"/>
                <w:szCs w:val="18"/>
              </w:rPr>
              <w:t>44</w:t>
            </w:r>
          </w:p>
        </w:tc>
        <w:tc>
          <w:tcPr>
            <w:tcW w:w="2975" w:type="dxa"/>
            <w:tcBorders/>
          </w:tcPr>
          <w:p>
            <w:pPr>
              <w:pStyle w:val="ListParagraph"/>
              <w:spacing w:lineRule="auto" w:line="240" w:before="0" w:after="0"/>
              <w:ind w:left="0" w:hanging="0"/>
              <w:contextualSpacing/>
              <w:rPr>
                <w:sz w:val="18"/>
                <w:szCs w:val="18"/>
              </w:rPr>
            </w:pPr>
            <w:r>
              <w:rPr>
                <w:sz w:val="18"/>
                <w:szCs w:val="18"/>
              </w:rPr>
              <w:t>Отплата камата</w:t>
            </w:r>
          </w:p>
        </w:tc>
        <w:tc>
          <w:tcPr>
            <w:tcW w:w="1480"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1.400</w:t>
            </w:r>
            <w:r>
              <w:rPr>
                <w:b w:val="false"/>
                <w:bCs w:val="false"/>
                <w:sz w:val="18"/>
                <w:szCs w:val="18"/>
              </w:rPr>
              <w:t>.000</w:t>
            </w:r>
          </w:p>
        </w:tc>
        <w:tc>
          <w:tcPr>
            <w:tcW w:w="1485"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1.400</w:t>
            </w:r>
            <w:r>
              <w:rPr>
                <w:b w:val="false"/>
                <w:bCs w:val="false"/>
                <w:sz w:val="18"/>
                <w:szCs w:val="18"/>
              </w:rPr>
              <w:t>.000</w:t>
            </w:r>
          </w:p>
        </w:tc>
        <w:tc>
          <w:tcPr>
            <w:tcW w:w="1483"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1.400</w:t>
            </w:r>
            <w:r>
              <w:rPr>
                <w:b w:val="false"/>
                <w:bCs w:val="false"/>
                <w:sz w:val="18"/>
                <w:szCs w:val="18"/>
              </w:rPr>
              <w:t>.000</w:t>
            </w:r>
          </w:p>
        </w:tc>
      </w:tr>
      <w:tr>
        <w:trPr/>
        <w:tc>
          <w:tcPr>
            <w:tcW w:w="770" w:type="dxa"/>
            <w:tcBorders/>
          </w:tcPr>
          <w:p>
            <w:pPr>
              <w:pStyle w:val="ListParagraph"/>
              <w:spacing w:lineRule="auto" w:line="240" w:before="0" w:after="0"/>
              <w:ind w:left="0" w:hanging="0"/>
              <w:contextualSpacing/>
              <w:rPr>
                <w:sz w:val="18"/>
                <w:szCs w:val="18"/>
              </w:rPr>
            </w:pPr>
            <w:r>
              <w:rPr>
                <w:sz w:val="18"/>
                <w:szCs w:val="18"/>
              </w:rPr>
              <w:t>45</w:t>
            </w:r>
          </w:p>
        </w:tc>
        <w:tc>
          <w:tcPr>
            <w:tcW w:w="2975" w:type="dxa"/>
            <w:tcBorders/>
          </w:tcPr>
          <w:p>
            <w:pPr>
              <w:pStyle w:val="ListParagraph"/>
              <w:spacing w:lineRule="auto" w:line="240" w:before="0" w:after="0"/>
              <w:ind w:left="0" w:hanging="0"/>
              <w:contextualSpacing/>
              <w:rPr>
                <w:sz w:val="18"/>
                <w:szCs w:val="18"/>
              </w:rPr>
            </w:pPr>
            <w:r>
              <w:rPr>
                <w:sz w:val="18"/>
                <w:szCs w:val="18"/>
              </w:rPr>
              <w:t>Субвенције</w:t>
            </w:r>
          </w:p>
        </w:tc>
        <w:tc>
          <w:tcPr>
            <w:tcW w:w="1480"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20.50</w:t>
            </w:r>
            <w:r>
              <w:rPr>
                <w:b w:val="false"/>
                <w:bCs w:val="false"/>
                <w:sz w:val="18"/>
                <w:szCs w:val="18"/>
              </w:rPr>
              <w:t>0.000</w:t>
            </w:r>
          </w:p>
        </w:tc>
        <w:tc>
          <w:tcPr>
            <w:tcW w:w="1485"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20.50</w:t>
            </w:r>
            <w:r>
              <w:rPr>
                <w:b w:val="false"/>
                <w:bCs w:val="false"/>
                <w:sz w:val="18"/>
                <w:szCs w:val="18"/>
              </w:rPr>
              <w:t>0.000</w:t>
            </w:r>
          </w:p>
        </w:tc>
        <w:tc>
          <w:tcPr>
            <w:tcW w:w="1483"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20.50</w:t>
            </w:r>
            <w:r>
              <w:rPr>
                <w:b w:val="false"/>
                <w:bCs w:val="false"/>
                <w:sz w:val="18"/>
                <w:szCs w:val="18"/>
              </w:rPr>
              <w:t>0.000</w:t>
            </w:r>
          </w:p>
        </w:tc>
      </w:tr>
      <w:tr>
        <w:trPr/>
        <w:tc>
          <w:tcPr>
            <w:tcW w:w="770" w:type="dxa"/>
            <w:tcBorders/>
          </w:tcPr>
          <w:p>
            <w:pPr>
              <w:pStyle w:val="ListParagraph"/>
              <w:spacing w:lineRule="auto" w:line="240" w:before="0" w:after="0"/>
              <w:ind w:left="0" w:hanging="0"/>
              <w:contextualSpacing/>
              <w:rPr>
                <w:sz w:val="18"/>
                <w:szCs w:val="18"/>
              </w:rPr>
            </w:pPr>
            <w:r>
              <w:rPr>
                <w:sz w:val="18"/>
                <w:szCs w:val="18"/>
              </w:rPr>
              <w:t>46</w:t>
            </w:r>
          </w:p>
        </w:tc>
        <w:tc>
          <w:tcPr>
            <w:tcW w:w="2975" w:type="dxa"/>
            <w:tcBorders/>
          </w:tcPr>
          <w:p>
            <w:pPr>
              <w:pStyle w:val="ListParagraph"/>
              <w:spacing w:lineRule="auto" w:line="240" w:before="0" w:after="0"/>
              <w:ind w:left="0" w:hanging="0"/>
              <w:contextualSpacing/>
              <w:rPr>
                <w:sz w:val="18"/>
                <w:szCs w:val="18"/>
              </w:rPr>
            </w:pPr>
            <w:r>
              <w:rPr>
                <w:sz w:val="18"/>
                <w:szCs w:val="18"/>
              </w:rPr>
              <w:t>Трансфери</w:t>
            </w:r>
          </w:p>
        </w:tc>
        <w:tc>
          <w:tcPr>
            <w:tcW w:w="1480"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4</w:t>
            </w:r>
            <w:r>
              <w:rPr>
                <w:b w:val="false"/>
                <w:bCs w:val="false"/>
                <w:sz w:val="18"/>
                <w:szCs w:val="18"/>
                <w:lang w:val="sr-RS"/>
              </w:rPr>
              <w:t>0</w:t>
            </w:r>
            <w:r>
              <w:rPr>
                <w:b w:val="false"/>
                <w:bCs w:val="false"/>
                <w:sz w:val="18"/>
                <w:szCs w:val="18"/>
                <w:lang w:val="sr-RS"/>
              </w:rPr>
              <w:t>.000.000</w:t>
            </w:r>
          </w:p>
        </w:tc>
        <w:tc>
          <w:tcPr>
            <w:tcW w:w="1485"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4</w:t>
            </w:r>
            <w:r>
              <w:rPr>
                <w:b w:val="false"/>
                <w:bCs w:val="false"/>
                <w:sz w:val="18"/>
                <w:szCs w:val="18"/>
                <w:lang w:val="sr-RS"/>
              </w:rPr>
              <w:t>0</w:t>
            </w:r>
            <w:r>
              <w:rPr>
                <w:b w:val="false"/>
                <w:bCs w:val="false"/>
                <w:sz w:val="18"/>
                <w:szCs w:val="18"/>
                <w:lang w:val="sr-RS"/>
              </w:rPr>
              <w:t>.000.000</w:t>
            </w:r>
          </w:p>
        </w:tc>
        <w:tc>
          <w:tcPr>
            <w:tcW w:w="1483"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4</w:t>
            </w:r>
            <w:r>
              <w:rPr>
                <w:b w:val="false"/>
                <w:bCs w:val="false"/>
                <w:sz w:val="18"/>
                <w:szCs w:val="18"/>
                <w:lang w:val="sr-RS"/>
              </w:rPr>
              <w:t>0</w:t>
            </w:r>
            <w:r>
              <w:rPr>
                <w:b w:val="false"/>
                <w:bCs w:val="false"/>
                <w:sz w:val="18"/>
                <w:szCs w:val="18"/>
                <w:lang w:val="sr-RS"/>
              </w:rPr>
              <w:t>.000.000</w:t>
            </w:r>
          </w:p>
        </w:tc>
      </w:tr>
      <w:tr>
        <w:trPr/>
        <w:tc>
          <w:tcPr>
            <w:tcW w:w="770" w:type="dxa"/>
            <w:tcBorders/>
          </w:tcPr>
          <w:p>
            <w:pPr>
              <w:pStyle w:val="ListParagraph"/>
              <w:spacing w:lineRule="auto" w:line="240" w:before="0" w:after="0"/>
              <w:ind w:left="0" w:hanging="0"/>
              <w:contextualSpacing/>
              <w:rPr>
                <w:sz w:val="18"/>
                <w:szCs w:val="18"/>
              </w:rPr>
            </w:pPr>
            <w:r>
              <w:rPr>
                <w:sz w:val="18"/>
                <w:szCs w:val="18"/>
              </w:rPr>
              <w:t>47</w:t>
            </w:r>
          </w:p>
        </w:tc>
        <w:tc>
          <w:tcPr>
            <w:tcW w:w="2975" w:type="dxa"/>
            <w:tcBorders/>
          </w:tcPr>
          <w:p>
            <w:pPr>
              <w:pStyle w:val="ListParagraph"/>
              <w:spacing w:lineRule="auto" w:line="240" w:before="0" w:after="0"/>
              <w:ind w:left="0" w:hanging="0"/>
              <w:contextualSpacing/>
              <w:rPr>
                <w:sz w:val="18"/>
                <w:szCs w:val="18"/>
              </w:rPr>
            </w:pPr>
            <w:r>
              <w:rPr>
                <w:sz w:val="18"/>
                <w:szCs w:val="18"/>
              </w:rPr>
              <w:t>Социј. заштита из буџета</w:t>
            </w:r>
          </w:p>
        </w:tc>
        <w:tc>
          <w:tcPr>
            <w:tcW w:w="1480"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2</w:t>
            </w:r>
            <w:r>
              <w:rPr>
                <w:b w:val="false"/>
                <w:bCs w:val="false"/>
                <w:sz w:val="18"/>
                <w:szCs w:val="18"/>
                <w:lang w:val="sr-RS"/>
              </w:rPr>
              <w:t>8</w:t>
            </w:r>
            <w:r>
              <w:rPr>
                <w:b w:val="false"/>
                <w:bCs w:val="false"/>
                <w:sz w:val="18"/>
                <w:szCs w:val="18"/>
                <w:lang w:val="sr-RS"/>
              </w:rPr>
              <w:t>.000.000</w:t>
            </w:r>
          </w:p>
        </w:tc>
        <w:tc>
          <w:tcPr>
            <w:tcW w:w="1485"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2</w:t>
            </w:r>
            <w:r>
              <w:rPr>
                <w:b w:val="false"/>
                <w:bCs w:val="false"/>
                <w:sz w:val="18"/>
                <w:szCs w:val="18"/>
                <w:lang w:val="sr-RS"/>
              </w:rPr>
              <w:t>8</w:t>
            </w:r>
            <w:r>
              <w:rPr>
                <w:b w:val="false"/>
                <w:bCs w:val="false"/>
                <w:sz w:val="18"/>
                <w:szCs w:val="18"/>
                <w:lang w:val="sr-RS"/>
              </w:rPr>
              <w:t>.000.000</w:t>
            </w:r>
          </w:p>
        </w:tc>
        <w:tc>
          <w:tcPr>
            <w:tcW w:w="1483"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2</w:t>
            </w:r>
            <w:r>
              <w:rPr>
                <w:b w:val="false"/>
                <w:bCs w:val="false"/>
                <w:sz w:val="18"/>
                <w:szCs w:val="18"/>
                <w:lang w:val="sr-RS"/>
              </w:rPr>
              <w:t>8</w:t>
            </w:r>
            <w:r>
              <w:rPr>
                <w:b w:val="false"/>
                <w:bCs w:val="false"/>
                <w:sz w:val="18"/>
                <w:szCs w:val="18"/>
                <w:lang w:val="sr-RS"/>
              </w:rPr>
              <w:t>.000.000</w:t>
            </w:r>
          </w:p>
        </w:tc>
      </w:tr>
      <w:tr>
        <w:trPr/>
        <w:tc>
          <w:tcPr>
            <w:tcW w:w="770" w:type="dxa"/>
            <w:tcBorders/>
          </w:tcPr>
          <w:p>
            <w:pPr>
              <w:pStyle w:val="ListParagraph"/>
              <w:spacing w:lineRule="auto" w:line="240" w:before="0" w:after="0"/>
              <w:ind w:left="0" w:hanging="0"/>
              <w:contextualSpacing/>
              <w:rPr>
                <w:sz w:val="18"/>
                <w:szCs w:val="18"/>
              </w:rPr>
            </w:pPr>
            <w:r>
              <w:rPr>
                <w:sz w:val="18"/>
                <w:szCs w:val="18"/>
              </w:rPr>
              <w:t>48</w:t>
            </w:r>
          </w:p>
        </w:tc>
        <w:tc>
          <w:tcPr>
            <w:tcW w:w="2975" w:type="dxa"/>
            <w:tcBorders/>
          </w:tcPr>
          <w:p>
            <w:pPr>
              <w:pStyle w:val="ListParagraph"/>
              <w:spacing w:lineRule="auto" w:line="240" w:before="0" w:after="0"/>
              <w:ind w:left="0" w:hanging="0"/>
              <w:contextualSpacing/>
              <w:rPr>
                <w:sz w:val="18"/>
                <w:szCs w:val="18"/>
              </w:rPr>
            </w:pPr>
            <w:r>
              <w:rPr>
                <w:sz w:val="18"/>
                <w:szCs w:val="18"/>
              </w:rPr>
              <w:t>Остали расходи</w:t>
            </w:r>
          </w:p>
        </w:tc>
        <w:tc>
          <w:tcPr>
            <w:tcW w:w="1480"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18.50</w:t>
            </w:r>
            <w:r>
              <w:rPr>
                <w:b w:val="false"/>
                <w:bCs w:val="false"/>
                <w:sz w:val="18"/>
                <w:szCs w:val="18"/>
              </w:rPr>
              <w:t>0.000</w:t>
            </w:r>
          </w:p>
        </w:tc>
        <w:tc>
          <w:tcPr>
            <w:tcW w:w="1485"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18.50</w:t>
            </w:r>
            <w:r>
              <w:rPr>
                <w:b w:val="false"/>
                <w:bCs w:val="false"/>
                <w:sz w:val="18"/>
                <w:szCs w:val="18"/>
              </w:rPr>
              <w:t>0.000</w:t>
            </w:r>
          </w:p>
        </w:tc>
        <w:tc>
          <w:tcPr>
            <w:tcW w:w="1483"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18.50</w:t>
            </w:r>
            <w:r>
              <w:rPr>
                <w:b w:val="false"/>
                <w:bCs w:val="false"/>
                <w:sz w:val="18"/>
                <w:szCs w:val="18"/>
              </w:rPr>
              <w:t>0.000</w:t>
            </w:r>
          </w:p>
        </w:tc>
      </w:tr>
      <w:tr>
        <w:trPr/>
        <w:tc>
          <w:tcPr>
            <w:tcW w:w="770" w:type="dxa"/>
            <w:tcBorders/>
          </w:tcPr>
          <w:p>
            <w:pPr>
              <w:pStyle w:val="ListParagraph"/>
              <w:spacing w:lineRule="auto" w:line="240" w:before="0" w:after="0"/>
              <w:ind w:left="0" w:hanging="0"/>
              <w:contextualSpacing/>
              <w:rPr>
                <w:sz w:val="18"/>
                <w:szCs w:val="18"/>
              </w:rPr>
            </w:pPr>
            <w:r>
              <w:rPr>
                <w:sz w:val="18"/>
                <w:szCs w:val="18"/>
              </w:rPr>
              <w:t>5</w:t>
            </w:r>
          </w:p>
        </w:tc>
        <w:tc>
          <w:tcPr>
            <w:tcW w:w="2975" w:type="dxa"/>
            <w:tcBorders/>
          </w:tcPr>
          <w:p>
            <w:pPr>
              <w:pStyle w:val="ListParagraph"/>
              <w:spacing w:lineRule="auto" w:line="240" w:before="0" w:after="0"/>
              <w:ind w:left="0" w:hanging="0"/>
              <w:contextualSpacing/>
              <w:rPr>
                <w:sz w:val="18"/>
                <w:szCs w:val="18"/>
              </w:rPr>
            </w:pPr>
            <w:r>
              <w:rPr>
                <w:sz w:val="18"/>
                <w:szCs w:val="18"/>
              </w:rPr>
              <w:t>Издаци за неф. имовину</w:t>
            </w:r>
          </w:p>
        </w:tc>
        <w:tc>
          <w:tcPr>
            <w:tcW w:w="1480" w:type="dxa"/>
            <w:tcBorders/>
          </w:tcPr>
          <w:p>
            <w:pPr>
              <w:pStyle w:val="ListParagraph"/>
              <w:spacing w:lineRule="auto" w:line="240" w:before="0" w:after="0"/>
              <w:ind w:left="0" w:hanging="0"/>
              <w:contextualSpacing/>
              <w:jc w:val="right"/>
              <w:rPr>
                <w:sz w:val="18"/>
                <w:szCs w:val="18"/>
              </w:rPr>
            </w:pPr>
            <w:r>
              <w:rPr>
                <w:b w:val="false"/>
                <w:bCs w:val="false"/>
                <w:sz w:val="18"/>
                <w:szCs w:val="18"/>
              </w:rPr>
              <w:t>50.000.000</w:t>
            </w:r>
          </w:p>
        </w:tc>
        <w:tc>
          <w:tcPr>
            <w:tcW w:w="1485" w:type="dxa"/>
            <w:tcBorders/>
          </w:tcPr>
          <w:p>
            <w:pPr>
              <w:pStyle w:val="ListParagraph"/>
              <w:spacing w:lineRule="auto" w:line="240" w:before="0" w:after="0"/>
              <w:ind w:left="0" w:hanging="0"/>
              <w:contextualSpacing/>
              <w:jc w:val="right"/>
              <w:rPr>
                <w:sz w:val="18"/>
                <w:szCs w:val="18"/>
              </w:rPr>
            </w:pPr>
            <w:r>
              <w:rPr>
                <w:b w:val="false"/>
                <w:bCs w:val="false"/>
                <w:sz w:val="18"/>
                <w:szCs w:val="18"/>
              </w:rPr>
              <w:t>50.000.000</w:t>
            </w:r>
          </w:p>
        </w:tc>
        <w:tc>
          <w:tcPr>
            <w:tcW w:w="1483" w:type="dxa"/>
            <w:tcBorders/>
          </w:tcPr>
          <w:p>
            <w:pPr>
              <w:pStyle w:val="ListParagraph"/>
              <w:spacing w:lineRule="auto" w:line="240" w:before="0" w:after="0"/>
              <w:ind w:left="0" w:hanging="0"/>
              <w:contextualSpacing/>
              <w:jc w:val="right"/>
              <w:rPr>
                <w:sz w:val="18"/>
                <w:szCs w:val="18"/>
              </w:rPr>
            </w:pPr>
            <w:r>
              <w:rPr>
                <w:b w:val="false"/>
                <w:bCs w:val="false"/>
                <w:sz w:val="18"/>
                <w:szCs w:val="18"/>
              </w:rPr>
              <w:t>50.000.000</w:t>
            </w:r>
          </w:p>
        </w:tc>
      </w:tr>
      <w:tr>
        <w:trPr/>
        <w:tc>
          <w:tcPr>
            <w:tcW w:w="770" w:type="dxa"/>
            <w:tcBorders/>
          </w:tcPr>
          <w:p>
            <w:pPr>
              <w:pStyle w:val="ListParagraph"/>
              <w:spacing w:lineRule="auto" w:line="240" w:before="0" w:after="0"/>
              <w:ind w:left="0" w:hanging="0"/>
              <w:contextualSpacing/>
              <w:rPr>
                <w:sz w:val="18"/>
                <w:szCs w:val="18"/>
              </w:rPr>
            </w:pPr>
            <w:r>
              <w:rPr>
                <w:sz w:val="18"/>
                <w:szCs w:val="18"/>
              </w:rPr>
              <w:t>6</w:t>
            </w:r>
          </w:p>
        </w:tc>
        <w:tc>
          <w:tcPr>
            <w:tcW w:w="2975" w:type="dxa"/>
            <w:tcBorders/>
          </w:tcPr>
          <w:p>
            <w:pPr>
              <w:pStyle w:val="ListParagraph"/>
              <w:spacing w:lineRule="auto" w:line="240" w:before="0" w:after="0"/>
              <w:ind w:left="0" w:hanging="0"/>
              <w:contextualSpacing/>
              <w:rPr>
                <w:sz w:val="18"/>
                <w:szCs w:val="18"/>
              </w:rPr>
            </w:pPr>
            <w:r>
              <w:rPr>
                <w:sz w:val="18"/>
                <w:szCs w:val="18"/>
              </w:rPr>
              <w:t>Отплата дуга</w:t>
            </w:r>
          </w:p>
        </w:tc>
        <w:tc>
          <w:tcPr>
            <w:tcW w:w="1480"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7.5</w:t>
            </w:r>
            <w:r>
              <w:rPr>
                <w:b w:val="false"/>
                <w:bCs w:val="false"/>
                <w:sz w:val="18"/>
                <w:szCs w:val="18"/>
              </w:rPr>
              <w:t>00.000</w:t>
            </w:r>
          </w:p>
        </w:tc>
        <w:tc>
          <w:tcPr>
            <w:tcW w:w="1485"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7.5</w:t>
            </w:r>
            <w:r>
              <w:rPr>
                <w:b w:val="false"/>
                <w:bCs w:val="false"/>
                <w:sz w:val="18"/>
                <w:szCs w:val="18"/>
              </w:rPr>
              <w:t>00.000</w:t>
            </w:r>
          </w:p>
        </w:tc>
        <w:tc>
          <w:tcPr>
            <w:tcW w:w="1483"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7.5</w:t>
            </w:r>
            <w:r>
              <w:rPr>
                <w:b w:val="false"/>
                <w:bCs w:val="false"/>
                <w:sz w:val="18"/>
                <w:szCs w:val="18"/>
              </w:rPr>
              <w:t>00.000</w:t>
            </w:r>
          </w:p>
        </w:tc>
      </w:tr>
      <w:tr>
        <w:trPr/>
        <w:tc>
          <w:tcPr>
            <w:tcW w:w="770" w:type="dxa"/>
            <w:tcBorders/>
          </w:tcPr>
          <w:p>
            <w:pPr>
              <w:pStyle w:val="ListParagraph"/>
              <w:spacing w:lineRule="auto" w:line="240" w:before="0" w:after="0"/>
              <w:ind w:left="0" w:hanging="0"/>
              <w:contextualSpacing/>
              <w:rPr>
                <w:sz w:val="18"/>
                <w:szCs w:val="18"/>
              </w:rPr>
            </w:pPr>
            <w:r>
              <w:rPr>
                <w:sz w:val="18"/>
                <w:szCs w:val="18"/>
              </w:rPr>
            </w:r>
          </w:p>
        </w:tc>
        <w:tc>
          <w:tcPr>
            <w:tcW w:w="2975" w:type="dxa"/>
            <w:tcBorders/>
          </w:tcPr>
          <w:p>
            <w:pPr>
              <w:pStyle w:val="ListParagraph"/>
              <w:spacing w:lineRule="auto" w:line="240" w:before="0" w:after="0"/>
              <w:ind w:left="0" w:hanging="0"/>
              <w:contextualSpacing/>
              <w:rPr>
                <w:sz w:val="18"/>
                <w:szCs w:val="18"/>
              </w:rPr>
            </w:pPr>
            <w:r>
              <w:rPr>
                <w:sz w:val="18"/>
                <w:szCs w:val="18"/>
              </w:rPr>
              <w:t>Укупни расходи и издаци:</w:t>
            </w:r>
          </w:p>
        </w:tc>
        <w:tc>
          <w:tcPr>
            <w:tcW w:w="1480"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395.900.000</w:t>
            </w:r>
          </w:p>
        </w:tc>
        <w:tc>
          <w:tcPr>
            <w:tcW w:w="1485"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395.900.000</w:t>
            </w:r>
          </w:p>
        </w:tc>
        <w:tc>
          <w:tcPr>
            <w:tcW w:w="1483"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395.900.000</w:t>
            </w:r>
          </w:p>
        </w:tc>
      </w:tr>
    </w:tbl>
    <w:p>
      <w:pPr>
        <w:pStyle w:val="ListParagraph"/>
        <w:ind w:left="0" w:firstLine="720"/>
        <w:rPr/>
      </w:pPr>
      <w:r>
        <w:rPr/>
      </w:r>
    </w:p>
    <w:p>
      <w:pPr>
        <w:pStyle w:val="ListParagraph"/>
        <w:ind w:left="0" w:firstLine="720"/>
        <w:rPr/>
      </w:pPr>
      <w:r>
        <w:rPr/>
      </w:r>
    </w:p>
    <w:p>
      <w:pPr>
        <w:pStyle w:val="ListParagraph"/>
        <w:ind w:left="0" w:firstLine="720"/>
        <w:rPr/>
      </w:pPr>
      <w:r>
        <w:rPr/>
      </w:r>
    </w:p>
    <w:p>
      <w:pPr>
        <w:pStyle w:val="ListParagraph"/>
        <w:ind w:left="0" w:firstLine="720"/>
        <w:rPr>
          <w:b/>
          <w:b/>
        </w:rPr>
      </w:pPr>
      <w:r>
        <w:rPr>
          <w:b/>
        </w:rPr>
        <w:t xml:space="preserve"> </w:t>
      </w:r>
      <w:r>
        <w:rPr>
          <w:b/>
        </w:rPr>
        <w:t>IV ОБИМ СРЕДСТАВА КОЈЕ МОЖЕ ДА САДРЖИ ПРЕДЛОГ ФИНАНСИЈСКОГ ПЛАНА КОРИСНИКА СРЕДСТАВА БУЏЕТА ОПШТИНЕ ЋИЋЕВАЦ ЗА 202</w:t>
      </w:r>
      <w:r>
        <w:rPr>
          <w:b/>
          <w:lang w:val="sr-RS"/>
        </w:rPr>
        <w:t>2</w:t>
      </w:r>
      <w:r>
        <w:rPr>
          <w:b/>
        </w:rPr>
        <w:t>. ГОДИНУ СА ПРОЈЕКЦИЈАМА ЗА НАРЕДНЕ ДВЕ ФИСКАЛНЕ ГОДИНЕ</w:t>
      </w:r>
    </w:p>
    <w:p>
      <w:pPr>
        <w:pStyle w:val="ListParagraph"/>
        <w:ind w:left="0" w:firstLine="720"/>
        <w:rPr>
          <w:b/>
          <w:b/>
        </w:rPr>
      </w:pPr>
      <w:r>
        <w:rPr>
          <w:b/>
        </w:rPr>
      </w:r>
    </w:p>
    <w:p>
      <w:pPr>
        <w:pStyle w:val="ListParagraph"/>
        <w:ind w:left="0" w:firstLine="720"/>
        <w:rPr/>
      </w:pPr>
      <w:r>
        <w:rPr/>
        <w:t xml:space="preserve"> </w:t>
      </w:r>
      <w:r>
        <w:rPr/>
        <w:t xml:space="preserve">Лимити укупних расхода по годинама за трогодишњи период, на неки начин представљају основ за увођење средњорочног оквира расхода који треба да повећају предвидивост јавних финансија за буџетске кориснике и створе одређену препреку за њихову експанзију. </w:t>
      </w:r>
    </w:p>
    <w:p>
      <w:pPr>
        <w:pStyle w:val="ListParagraph"/>
        <w:ind w:left="0" w:firstLine="720"/>
        <w:rPr/>
      </w:pPr>
      <w:r>
        <w:rPr/>
        <w:t>При изради предлога финансијских планова за 202</w:t>
      </w:r>
      <w:r>
        <w:rPr>
          <w:lang w:val="sr-RS"/>
        </w:rPr>
        <w:t>2</w:t>
      </w:r>
      <w:r>
        <w:rPr/>
        <w:t xml:space="preserve">. годину, буџетски корисници треба да планирају расходе и издатке до нивоа утврђеног овим Упутством. </w:t>
      </w:r>
    </w:p>
    <w:p>
      <w:pPr>
        <w:pStyle w:val="ListParagraph"/>
        <w:ind w:left="0" w:firstLine="720"/>
        <w:rPr/>
      </w:pPr>
      <w:r>
        <w:rPr/>
        <w:t>Полазну основу за утврђивање обима средстава у предлозима финансијских планова директних корисника средстава буџета за 202</w:t>
      </w:r>
      <w:r>
        <w:rPr>
          <w:lang w:val="sr-RS"/>
        </w:rPr>
        <w:t>2</w:t>
      </w:r>
      <w:r>
        <w:rPr/>
        <w:t>. годину, чини обим средстава за расходе директних корисника утврђен Одлуком о буџету општине за 20</w:t>
      </w:r>
      <w:r>
        <w:rPr>
          <w:lang w:val="sr-RS"/>
        </w:rPr>
        <w:t>2</w:t>
      </w:r>
      <w:r>
        <w:rPr>
          <w:lang w:val="sr-RS"/>
        </w:rPr>
        <w:t>1.</w:t>
      </w:r>
      <w:r>
        <w:rPr/>
        <w:t xml:space="preserve"> годину (Сл. лист општине Ћићевац , број </w:t>
      </w:r>
      <w:r>
        <w:rPr>
          <w:rFonts w:eastAsia="Calibri" w:cs="" w:cstheme="minorBidi" w:eastAsiaTheme="minorHAnsi"/>
          <w:color w:val="auto"/>
          <w:kern w:val="0"/>
          <w:sz w:val="22"/>
          <w:szCs w:val="22"/>
          <w:lang w:val="sr-RS" w:eastAsia="en-US" w:bidi="ar-SA"/>
        </w:rPr>
        <w:t>34/20 и 11/21</w:t>
      </w:r>
      <w:r>
        <w:rPr>
          <w:lang w:val="sr-RS"/>
        </w:rPr>
        <w:t xml:space="preserve">) </w:t>
      </w:r>
      <w:r>
        <w:rPr>
          <w:color w:val="C9211E"/>
        </w:rPr>
        <w:t xml:space="preserve"> </w:t>
      </w:r>
      <w:r>
        <w:rPr/>
        <w:t>из извора 01- Приходи из буџета.</w:t>
      </w:r>
    </w:p>
    <w:p>
      <w:pPr>
        <w:pStyle w:val="ListParagraph"/>
        <w:ind w:left="0" w:firstLine="720"/>
        <w:rPr/>
      </w:pPr>
      <w:r>
        <w:rPr/>
        <w:t xml:space="preserve"> </w:t>
      </w:r>
      <w:r>
        <w:rPr/>
        <w:t>Обим средстава који може да садржи предлог финансијског плана директног корисника средстава буџета за 202</w:t>
      </w:r>
      <w:r>
        <w:rPr>
          <w:lang w:val="sr-RS"/>
        </w:rPr>
        <w:t>2</w:t>
      </w:r>
      <w:r>
        <w:rPr/>
        <w:t>. годину, из извора 01- Приходи из буџета, са пројекцијама за наредне две фискалне године по организационој класификацији утврђен је у следећој табели:</w:t>
      </w:r>
    </w:p>
    <w:p>
      <w:pPr>
        <w:pStyle w:val="ListParagraph"/>
        <w:ind w:left="0" w:firstLine="720"/>
        <w:rPr/>
      </w:pPr>
      <w:r>
        <w:rPr/>
      </w:r>
    </w:p>
    <w:p>
      <w:pPr>
        <w:pStyle w:val="ListParagraph"/>
        <w:ind w:left="0" w:firstLine="720"/>
        <w:rPr/>
      </w:pPr>
      <w:r>
        <w:rPr/>
        <w:t xml:space="preserve"> </w:t>
      </w:r>
      <w:r>
        <w:rPr/>
        <w:t>Табела: Обим средстава који може да садржи предлог финансијског плана директног корисника средстава буџета општине Ћићевац за 202</w:t>
      </w:r>
      <w:r>
        <w:rPr>
          <w:lang w:val="sr-RS"/>
        </w:rPr>
        <w:t>2</w:t>
      </w:r>
      <w:r>
        <w:rPr/>
        <w:t>. годину, са пројекцијом за 202</w:t>
      </w:r>
      <w:r>
        <w:rPr>
          <w:lang w:val="sr-RS"/>
        </w:rPr>
        <w:t>3</w:t>
      </w:r>
      <w:r>
        <w:rPr/>
        <w:t>. и 202</w:t>
      </w:r>
      <w:r>
        <w:rPr>
          <w:lang w:val="sr-RS"/>
        </w:rPr>
        <w:t>4</w:t>
      </w:r>
      <w:r>
        <w:rPr/>
        <w:t>. годину из извора финансирања 01 - Приходи из буџета</w:t>
      </w:r>
    </w:p>
    <w:p>
      <w:pPr>
        <w:pStyle w:val="ListParagraph"/>
        <w:ind w:left="0" w:firstLine="720"/>
        <w:rPr/>
      </w:pPr>
      <w:r>
        <w:rPr/>
      </w:r>
    </w:p>
    <w:tbl>
      <w:tblPr>
        <w:tblStyle w:val="TableGrid"/>
        <w:tblW w:w="9576" w:type="dxa"/>
        <w:jc w:val="left"/>
        <w:tblInd w:w="0" w:type="dxa"/>
        <w:tblCellMar>
          <w:top w:w="0" w:type="dxa"/>
          <w:left w:w="108" w:type="dxa"/>
          <w:bottom w:w="0" w:type="dxa"/>
          <w:right w:w="108" w:type="dxa"/>
        </w:tblCellMar>
        <w:tblLook w:val="04a0"/>
      </w:tblPr>
      <w:tblGrid>
        <w:gridCol w:w="958"/>
        <w:gridCol w:w="2869"/>
        <w:gridCol w:w="1919"/>
        <w:gridCol w:w="1914"/>
        <w:gridCol w:w="7"/>
        <w:gridCol w:w="1909"/>
      </w:tblGrid>
      <w:tr>
        <w:trPr>
          <w:trHeight w:val="298" w:hRule="atLeast"/>
        </w:trPr>
        <w:tc>
          <w:tcPr>
            <w:tcW w:w="958" w:type="dxa"/>
            <w:vMerge w:val="restart"/>
            <w:tcBorders/>
          </w:tcPr>
          <w:p>
            <w:pPr>
              <w:pStyle w:val="ListParagraph"/>
              <w:spacing w:lineRule="auto" w:line="240" w:before="0" w:after="0"/>
              <w:ind w:left="0" w:hanging="0"/>
              <w:contextualSpacing/>
              <w:rPr>
                <w:sz w:val="18"/>
                <w:szCs w:val="18"/>
              </w:rPr>
            </w:pPr>
            <w:r>
              <w:rPr>
                <w:sz w:val="18"/>
                <w:szCs w:val="18"/>
              </w:rPr>
              <w:t>Раздео</w:t>
            </w:r>
          </w:p>
        </w:tc>
        <w:tc>
          <w:tcPr>
            <w:tcW w:w="2869" w:type="dxa"/>
            <w:vMerge w:val="restart"/>
            <w:tcBorders/>
          </w:tcPr>
          <w:p>
            <w:pPr>
              <w:pStyle w:val="ListParagraph"/>
              <w:spacing w:lineRule="auto" w:line="240" w:before="0" w:after="0"/>
              <w:ind w:left="0" w:hanging="0"/>
              <w:contextualSpacing/>
              <w:jc w:val="center"/>
              <w:rPr>
                <w:sz w:val="18"/>
                <w:szCs w:val="18"/>
              </w:rPr>
            </w:pPr>
            <w:r>
              <w:rPr>
                <w:sz w:val="18"/>
                <w:szCs w:val="18"/>
              </w:rPr>
              <w:t>Опис</w:t>
            </w:r>
          </w:p>
        </w:tc>
        <w:tc>
          <w:tcPr>
            <w:tcW w:w="5749" w:type="dxa"/>
            <w:gridSpan w:val="4"/>
            <w:tcBorders/>
          </w:tcPr>
          <w:p>
            <w:pPr>
              <w:pStyle w:val="ListParagraph"/>
              <w:spacing w:lineRule="auto" w:line="240" w:before="0" w:after="0"/>
              <w:ind w:left="0" w:hanging="0"/>
              <w:contextualSpacing/>
              <w:jc w:val="center"/>
              <w:rPr>
                <w:sz w:val="18"/>
                <w:szCs w:val="18"/>
              </w:rPr>
            </w:pPr>
            <w:r>
              <w:rPr>
                <w:sz w:val="18"/>
                <w:szCs w:val="18"/>
              </w:rPr>
              <w:t>Пројекција за</w:t>
            </w:r>
          </w:p>
        </w:tc>
      </w:tr>
      <w:tr>
        <w:trPr>
          <w:trHeight w:val="234" w:hRule="atLeast"/>
        </w:trPr>
        <w:tc>
          <w:tcPr>
            <w:tcW w:w="958" w:type="dxa"/>
            <w:vMerge w:val="continue"/>
            <w:tcBorders/>
          </w:tcPr>
          <w:p>
            <w:pPr>
              <w:pStyle w:val="ListParagraph"/>
              <w:spacing w:lineRule="auto" w:line="240" w:before="0" w:after="0"/>
              <w:ind w:left="0" w:hanging="0"/>
              <w:contextualSpacing/>
              <w:rPr>
                <w:sz w:val="18"/>
                <w:szCs w:val="18"/>
              </w:rPr>
            </w:pPr>
            <w:r>
              <w:rPr>
                <w:sz w:val="18"/>
                <w:szCs w:val="18"/>
              </w:rPr>
            </w:r>
          </w:p>
        </w:tc>
        <w:tc>
          <w:tcPr>
            <w:tcW w:w="2869" w:type="dxa"/>
            <w:vMerge w:val="continue"/>
            <w:tcBorders/>
          </w:tcPr>
          <w:p>
            <w:pPr>
              <w:pStyle w:val="ListParagraph"/>
              <w:spacing w:lineRule="auto" w:line="240" w:before="0" w:after="0"/>
              <w:ind w:left="0" w:hanging="0"/>
              <w:contextualSpacing/>
              <w:jc w:val="center"/>
              <w:rPr>
                <w:sz w:val="18"/>
                <w:szCs w:val="18"/>
              </w:rPr>
            </w:pPr>
            <w:r>
              <w:rPr>
                <w:sz w:val="18"/>
                <w:szCs w:val="18"/>
              </w:rPr>
            </w:r>
          </w:p>
        </w:tc>
        <w:tc>
          <w:tcPr>
            <w:tcW w:w="1919" w:type="dxa"/>
            <w:tcBorders/>
          </w:tcPr>
          <w:p>
            <w:pPr>
              <w:pStyle w:val="ListParagraph"/>
              <w:spacing w:lineRule="auto" w:line="240" w:before="0" w:after="0"/>
              <w:ind w:left="0" w:hanging="0"/>
              <w:contextualSpacing/>
              <w:jc w:val="center"/>
              <w:rPr>
                <w:sz w:val="18"/>
                <w:szCs w:val="18"/>
              </w:rPr>
            </w:pPr>
            <w:r>
              <w:rPr>
                <w:sz w:val="18"/>
                <w:szCs w:val="18"/>
              </w:rPr>
              <w:t>202</w:t>
            </w:r>
            <w:r>
              <w:rPr>
                <w:sz w:val="18"/>
                <w:szCs w:val="18"/>
                <w:lang w:val="sr-RS"/>
              </w:rPr>
              <w:t>2</w:t>
            </w:r>
            <w:r>
              <w:rPr>
                <w:sz w:val="18"/>
                <w:szCs w:val="18"/>
              </w:rPr>
              <w:t>.</w:t>
            </w:r>
          </w:p>
        </w:tc>
        <w:tc>
          <w:tcPr>
            <w:tcW w:w="1921" w:type="dxa"/>
            <w:gridSpan w:val="2"/>
            <w:tcBorders/>
          </w:tcPr>
          <w:p>
            <w:pPr>
              <w:pStyle w:val="ListParagraph"/>
              <w:spacing w:lineRule="auto" w:line="240" w:before="0" w:after="0"/>
              <w:ind w:left="0" w:hanging="0"/>
              <w:contextualSpacing/>
              <w:jc w:val="center"/>
              <w:rPr>
                <w:sz w:val="18"/>
                <w:szCs w:val="18"/>
              </w:rPr>
            </w:pPr>
            <w:r>
              <w:rPr>
                <w:sz w:val="18"/>
                <w:szCs w:val="18"/>
              </w:rPr>
              <w:t>202</w:t>
            </w:r>
            <w:r>
              <w:rPr>
                <w:sz w:val="18"/>
                <w:szCs w:val="18"/>
                <w:lang w:val="sr-RS"/>
              </w:rPr>
              <w:t>3.</w:t>
            </w:r>
          </w:p>
        </w:tc>
        <w:tc>
          <w:tcPr>
            <w:tcW w:w="1909" w:type="dxa"/>
            <w:tcBorders/>
          </w:tcPr>
          <w:p>
            <w:pPr>
              <w:pStyle w:val="ListParagraph"/>
              <w:spacing w:lineRule="auto" w:line="240" w:before="0" w:after="0"/>
              <w:ind w:left="0" w:hanging="0"/>
              <w:contextualSpacing/>
              <w:jc w:val="center"/>
              <w:rPr>
                <w:sz w:val="18"/>
                <w:szCs w:val="18"/>
              </w:rPr>
            </w:pPr>
            <w:r>
              <w:rPr>
                <w:sz w:val="18"/>
                <w:szCs w:val="18"/>
              </w:rPr>
              <w:t>202</w:t>
            </w:r>
            <w:r>
              <w:rPr>
                <w:sz w:val="18"/>
                <w:szCs w:val="18"/>
                <w:lang w:val="sr-RS"/>
              </w:rPr>
              <w:t>4</w:t>
            </w:r>
            <w:r>
              <w:rPr>
                <w:sz w:val="18"/>
                <w:szCs w:val="18"/>
              </w:rPr>
              <w:t>.</w:t>
            </w:r>
          </w:p>
        </w:tc>
      </w:tr>
      <w:tr>
        <w:trPr/>
        <w:tc>
          <w:tcPr>
            <w:tcW w:w="958" w:type="dxa"/>
            <w:tcBorders/>
          </w:tcPr>
          <w:p>
            <w:pPr>
              <w:pStyle w:val="ListParagraph"/>
              <w:spacing w:lineRule="auto" w:line="240" w:before="0" w:after="0"/>
              <w:ind w:left="0" w:hanging="0"/>
              <w:contextualSpacing/>
              <w:rPr>
                <w:sz w:val="18"/>
                <w:szCs w:val="18"/>
              </w:rPr>
            </w:pPr>
            <w:r>
              <w:rPr>
                <w:sz w:val="18"/>
                <w:szCs w:val="18"/>
              </w:rPr>
              <w:t>1.</w:t>
            </w:r>
          </w:p>
        </w:tc>
        <w:tc>
          <w:tcPr>
            <w:tcW w:w="2869" w:type="dxa"/>
            <w:tcBorders/>
          </w:tcPr>
          <w:p>
            <w:pPr>
              <w:pStyle w:val="ListParagraph"/>
              <w:spacing w:lineRule="auto" w:line="240" w:before="0" w:after="0"/>
              <w:ind w:left="0" w:hanging="0"/>
              <w:contextualSpacing/>
              <w:rPr>
                <w:sz w:val="18"/>
                <w:szCs w:val="18"/>
              </w:rPr>
            </w:pPr>
            <w:r>
              <w:rPr>
                <w:sz w:val="18"/>
                <w:szCs w:val="18"/>
              </w:rPr>
              <w:t>Скупштина општине</w:t>
            </w:r>
          </w:p>
        </w:tc>
        <w:tc>
          <w:tcPr>
            <w:tcW w:w="1919"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1</w:t>
            </w:r>
            <w:r>
              <w:rPr>
                <w:rFonts w:eastAsia="Calibri" w:cs="" w:cstheme="minorBidi" w:eastAsiaTheme="minorHAnsi"/>
                <w:b w:val="false"/>
                <w:bCs w:val="false"/>
                <w:color w:val="auto"/>
                <w:kern w:val="0"/>
                <w:sz w:val="18"/>
                <w:szCs w:val="18"/>
                <w:lang w:val="sr-RS" w:eastAsia="en-US" w:bidi="ar-SA"/>
              </w:rPr>
              <w:t>5.500</w:t>
            </w:r>
            <w:r>
              <w:rPr>
                <w:b w:val="false"/>
                <w:bCs w:val="false"/>
                <w:sz w:val="18"/>
                <w:szCs w:val="18"/>
                <w:lang w:val="sr-RS"/>
              </w:rPr>
              <w:t>.000</w:t>
            </w:r>
          </w:p>
        </w:tc>
        <w:tc>
          <w:tcPr>
            <w:tcW w:w="1914"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1</w:t>
            </w:r>
            <w:r>
              <w:rPr>
                <w:rFonts w:eastAsia="Calibri" w:cs="" w:cstheme="minorBidi" w:eastAsiaTheme="minorHAnsi"/>
                <w:b w:val="false"/>
                <w:bCs w:val="false"/>
                <w:color w:val="auto"/>
                <w:kern w:val="0"/>
                <w:sz w:val="18"/>
                <w:szCs w:val="18"/>
                <w:lang w:val="sr-RS" w:eastAsia="en-US" w:bidi="ar-SA"/>
              </w:rPr>
              <w:t>5.500</w:t>
            </w:r>
            <w:r>
              <w:rPr>
                <w:b w:val="false"/>
                <w:bCs w:val="false"/>
                <w:sz w:val="18"/>
                <w:szCs w:val="18"/>
                <w:lang w:val="sr-RS"/>
              </w:rPr>
              <w:t>.000</w:t>
            </w:r>
          </w:p>
        </w:tc>
        <w:tc>
          <w:tcPr>
            <w:tcW w:w="1916" w:type="dxa"/>
            <w:gridSpan w:val="2"/>
            <w:tcBorders/>
          </w:tcPr>
          <w:p>
            <w:pPr>
              <w:pStyle w:val="ListParagraph"/>
              <w:spacing w:lineRule="auto" w:line="240" w:before="0" w:after="0"/>
              <w:ind w:left="0" w:hanging="0"/>
              <w:contextualSpacing/>
              <w:jc w:val="right"/>
              <w:rPr>
                <w:sz w:val="18"/>
                <w:szCs w:val="18"/>
              </w:rPr>
            </w:pPr>
            <w:r>
              <w:rPr>
                <w:b w:val="false"/>
                <w:bCs w:val="false"/>
                <w:sz w:val="18"/>
                <w:szCs w:val="18"/>
                <w:lang w:val="sr-RS"/>
              </w:rPr>
              <w:t>1</w:t>
            </w:r>
            <w:r>
              <w:rPr>
                <w:rFonts w:eastAsia="Calibri" w:cs="" w:cstheme="minorBidi" w:eastAsiaTheme="minorHAnsi"/>
                <w:b w:val="false"/>
                <w:bCs w:val="false"/>
                <w:color w:val="auto"/>
                <w:kern w:val="0"/>
                <w:sz w:val="18"/>
                <w:szCs w:val="18"/>
                <w:lang w:val="sr-RS" w:eastAsia="en-US" w:bidi="ar-SA"/>
              </w:rPr>
              <w:t>5.500</w:t>
            </w:r>
            <w:r>
              <w:rPr>
                <w:b w:val="false"/>
                <w:bCs w:val="false"/>
                <w:sz w:val="18"/>
                <w:szCs w:val="18"/>
                <w:lang w:val="sr-RS"/>
              </w:rPr>
              <w:t>.000</w:t>
            </w:r>
          </w:p>
        </w:tc>
      </w:tr>
      <w:tr>
        <w:trPr/>
        <w:tc>
          <w:tcPr>
            <w:tcW w:w="958" w:type="dxa"/>
            <w:tcBorders/>
          </w:tcPr>
          <w:p>
            <w:pPr>
              <w:pStyle w:val="ListParagraph"/>
              <w:spacing w:lineRule="auto" w:line="240" w:before="0" w:after="0"/>
              <w:ind w:left="0" w:hanging="0"/>
              <w:contextualSpacing/>
              <w:rPr>
                <w:sz w:val="18"/>
                <w:szCs w:val="18"/>
              </w:rPr>
            </w:pPr>
            <w:r>
              <w:rPr>
                <w:sz w:val="18"/>
                <w:szCs w:val="18"/>
              </w:rPr>
              <w:t>2.</w:t>
            </w:r>
          </w:p>
        </w:tc>
        <w:tc>
          <w:tcPr>
            <w:tcW w:w="2869" w:type="dxa"/>
            <w:tcBorders/>
          </w:tcPr>
          <w:p>
            <w:pPr>
              <w:pStyle w:val="ListParagraph"/>
              <w:spacing w:lineRule="auto" w:line="240" w:before="0" w:after="0"/>
              <w:ind w:left="0" w:hanging="0"/>
              <w:contextualSpacing/>
              <w:rPr>
                <w:sz w:val="18"/>
                <w:szCs w:val="18"/>
              </w:rPr>
            </w:pPr>
            <w:r>
              <w:rPr>
                <w:sz w:val="18"/>
                <w:szCs w:val="18"/>
              </w:rPr>
              <w:t>Председник општине</w:t>
            </w:r>
          </w:p>
        </w:tc>
        <w:tc>
          <w:tcPr>
            <w:tcW w:w="1919"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1</w:t>
            </w:r>
            <w:r>
              <w:rPr>
                <w:b w:val="false"/>
                <w:bCs w:val="false"/>
                <w:sz w:val="18"/>
                <w:szCs w:val="18"/>
                <w:lang w:val="sr-RS"/>
              </w:rPr>
              <w:t>7</w:t>
            </w:r>
            <w:r>
              <w:rPr>
                <w:b w:val="false"/>
                <w:bCs w:val="false"/>
                <w:sz w:val="18"/>
                <w:szCs w:val="18"/>
                <w:lang w:val="sr-RS"/>
              </w:rPr>
              <w:t>.000.000</w:t>
            </w:r>
          </w:p>
        </w:tc>
        <w:tc>
          <w:tcPr>
            <w:tcW w:w="1914"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1</w:t>
            </w:r>
            <w:r>
              <w:rPr>
                <w:b w:val="false"/>
                <w:bCs w:val="false"/>
                <w:sz w:val="18"/>
                <w:szCs w:val="18"/>
                <w:lang w:val="sr-RS"/>
              </w:rPr>
              <w:t>7</w:t>
            </w:r>
            <w:r>
              <w:rPr>
                <w:b w:val="false"/>
                <w:bCs w:val="false"/>
                <w:sz w:val="18"/>
                <w:szCs w:val="18"/>
                <w:lang w:val="sr-RS"/>
              </w:rPr>
              <w:t>.000.000</w:t>
            </w:r>
          </w:p>
        </w:tc>
        <w:tc>
          <w:tcPr>
            <w:tcW w:w="1916" w:type="dxa"/>
            <w:gridSpan w:val="2"/>
            <w:tcBorders/>
          </w:tcPr>
          <w:p>
            <w:pPr>
              <w:pStyle w:val="ListParagraph"/>
              <w:spacing w:lineRule="auto" w:line="240" w:before="0" w:after="0"/>
              <w:ind w:left="0" w:hanging="0"/>
              <w:contextualSpacing/>
              <w:jc w:val="right"/>
              <w:rPr>
                <w:sz w:val="18"/>
                <w:szCs w:val="18"/>
              </w:rPr>
            </w:pPr>
            <w:r>
              <w:rPr>
                <w:b w:val="false"/>
                <w:bCs w:val="false"/>
                <w:sz w:val="18"/>
                <w:szCs w:val="18"/>
                <w:lang w:val="sr-RS"/>
              </w:rPr>
              <w:t>1</w:t>
            </w:r>
            <w:r>
              <w:rPr>
                <w:b w:val="false"/>
                <w:bCs w:val="false"/>
                <w:sz w:val="18"/>
                <w:szCs w:val="18"/>
                <w:lang w:val="sr-RS"/>
              </w:rPr>
              <w:t>7</w:t>
            </w:r>
            <w:r>
              <w:rPr>
                <w:b w:val="false"/>
                <w:bCs w:val="false"/>
                <w:sz w:val="18"/>
                <w:szCs w:val="18"/>
                <w:lang w:val="sr-RS"/>
              </w:rPr>
              <w:t>.000.000</w:t>
            </w:r>
          </w:p>
        </w:tc>
      </w:tr>
      <w:tr>
        <w:trPr/>
        <w:tc>
          <w:tcPr>
            <w:tcW w:w="958" w:type="dxa"/>
            <w:tcBorders/>
          </w:tcPr>
          <w:p>
            <w:pPr>
              <w:pStyle w:val="ListParagraph"/>
              <w:spacing w:lineRule="auto" w:line="240" w:before="0" w:after="0"/>
              <w:ind w:left="0" w:hanging="0"/>
              <w:contextualSpacing/>
              <w:rPr>
                <w:sz w:val="18"/>
                <w:szCs w:val="18"/>
              </w:rPr>
            </w:pPr>
            <w:r>
              <w:rPr>
                <w:sz w:val="18"/>
                <w:szCs w:val="18"/>
                <w:lang w:val="sr-RS"/>
              </w:rPr>
              <w:t>3</w:t>
            </w:r>
            <w:r>
              <w:rPr>
                <w:sz w:val="18"/>
                <w:szCs w:val="18"/>
              </w:rPr>
              <w:t>.</w:t>
            </w:r>
          </w:p>
        </w:tc>
        <w:tc>
          <w:tcPr>
            <w:tcW w:w="2869" w:type="dxa"/>
            <w:tcBorders/>
          </w:tcPr>
          <w:p>
            <w:pPr>
              <w:pStyle w:val="ListParagraph"/>
              <w:spacing w:lineRule="auto" w:line="240" w:before="0" w:after="0"/>
              <w:ind w:left="0" w:hanging="0"/>
              <w:contextualSpacing/>
              <w:rPr>
                <w:sz w:val="18"/>
                <w:szCs w:val="18"/>
              </w:rPr>
            </w:pPr>
            <w:r>
              <w:rPr>
                <w:sz w:val="18"/>
                <w:szCs w:val="18"/>
              </w:rPr>
              <w:t>Општинско веће</w:t>
            </w:r>
          </w:p>
        </w:tc>
        <w:tc>
          <w:tcPr>
            <w:tcW w:w="1919"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8.40</w:t>
            </w:r>
            <w:r>
              <w:rPr>
                <w:b w:val="false"/>
                <w:bCs w:val="false"/>
                <w:sz w:val="18"/>
                <w:szCs w:val="18"/>
              </w:rPr>
              <w:t>0.000</w:t>
            </w:r>
          </w:p>
        </w:tc>
        <w:tc>
          <w:tcPr>
            <w:tcW w:w="1914"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8.40</w:t>
            </w:r>
            <w:r>
              <w:rPr>
                <w:b w:val="false"/>
                <w:bCs w:val="false"/>
                <w:sz w:val="18"/>
                <w:szCs w:val="18"/>
              </w:rPr>
              <w:t>0.000</w:t>
            </w:r>
          </w:p>
        </w:tc>
        <w:tc>
          <w:tcPr>
            <w:tcW w:w="1916" w:type="dxa"/>
            <w:gridSpan w:val="2"/>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8.40</w:t>
            </w:r>
            <w:r>
              <w:rPr>
                <w:b w:val="false"/>
                <w:bCs w:val="false"/>
                <w:sz w:val="18"/>
                <w:szCs w:val="18"/>
              </w:rPr>
              <w:t>0.000</w:t>
            </w:r>
          </w:p>
        </w:tc>
      </w:tr>
      <w:tr>
        <w:trPr/>
        <w:tc>
          <w:tcPr>
            <w:tcW w:w="958" w:type="dxa"/>
            <w:tcBorders/>
          </w:tcPr>
          <w:p>
            <w:pPr>
              <w:pStyle w:val="ListParagraph"/>
              <w:spacing w:lineRule="auto" w:line="240" w:before="0" w:after="0"/>
              <w:ind w:left="0" w:hanging="0"/>
              <w:contextualSpacing/>
              <w:rPr>
                <w:sz w:val="18"/>
                <w:szCs w:val="18"/>
              </w:rPr>
            </w:pPr>
            <w:r>
              <w:rPr>
                <w:sz w:val="18"/>
                <w:szCs w:val="18"/>
                <w:lang w:val="sr-RS"/>
              </w:rPr>
              <w:t>4</w:t>
            </w:r>
            <w:r>
              <w:rPr>
                <w:sz w:val="18"/>
                <w:szCs w:val="18"/>
              </w:rPr>
              <w:t>.</w:t>
            </w:r>
          </w:p>
        </w:tc>
        <w:tc>
          <w:tcPr>
            <w:tcW w:w="2869" w:type="dxa"/>
            <w:tcBorders/>
          </w:tcPr>
          <w:p>
            <w:pPr>
              <w:pStyle w:val="ListParagraph"/>
              <w:spacing w:lineRule="auto" w:line="240" w:before="0" w:after="0"/>
              <w:ind w:left="0" w:hanging="0"/>
              <w:contextualSpacing/>
              <w:rPr>
                <w:sz w:val="18"/>
                <w:szCs w:val="18"/>
              </w:rPr>
            </w:pPr>
            <w:r>
              <w:rPr>
                <w:sz w:val="18"/>
                <w:szCs w:val="18"/>
              </w:rPr>
              <w:t>Општинско правобранилаштво</w:t>
            </w:r>
          </w:p>
        </w:tc>
        <w:tc>
          <w:tcPr>
            <w:tcW w:w="1919"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3.30</w:t>
            </w:r>
            <w:r>
              <w:rPr>
                <w:b w:val="false"/>
                <w:bCs w:val="false"/>
                <w:sz w:val="18"/>
                <w:szCs w:val="18"/>
              </w:rPr>
              <w:t>0.000</w:t>
            </w:r>
          </w:p>
        </w:tc>
        <w:tc>
          <w:tcPr>
            <w:tcW w:w="1914"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3.30</w:t>
            </w:r>
            <w:r>
              <w:rPr>
                <w:b w:val="false"/>
                <w:bCs w:val="false"/>
                <w:sz w:val="18"/>
                <w:szCs w:val="18"/>
              </w:rPr>
              <w:t>0.000</w:t>
            </w:r>
          </w:p>
        </w:tc>
        <w:tc>
          <w:tcPr>
            <w:tcW w:w="1916" w:type="dxa"/>
            <w:gridSpan w:val="2"/>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3.30</w:t>
            </w:r>
            <w:r>
              <w:rPr>
                <w:b w:val="false"/>
                <w:bCs w:val="false"/>
                <w:sz w:val="18"/>
                <w:szCs w:val="18"/>
              </w:rPr>
              <w:t>0.000</w:t>
            </w:r>
          </w:p>
        </w:tc>
      </w:tr>
      <w:tr>
        <w:trPr/>
        <w:tc>
          <w:tcPr>
            <w:tcW w:w="958" w:type="dxa"/>
            <w:tcBorders/>
          </w:tcPr>
          <w:p>
            <w:pPr>
              <w:pStyle w:val="ListParagraph"/>
              <w:spacing w:lineRule="auto" w:line="240" w:before="0" w:after="0"/>
              <w:ind w:left="0" w:hanging="0"/>
              <w:contextualSpacing/>
              <w:rPr>
                <w:sz w:val="18"/>
                <w:szCs w:val="18"/>
              </w:rPr>
            </w:pPr>
            <w:r>
              <w:rPr>
                <w:sz w:val="18"/>
                <w:szCs w:val="18"/>
                <w:lang w:val="sr-RS"/>
              </w:rPr>
              <w:t>5</w:t>
            </w:r>
            <w:r>
              <w:rPr>
                <w:sz w:val="18"/>
                <w:szCs w:val="18"/>
              </w:rPr>
              <w:t>.</w:t>
            </w:r>
          </w:p>
        </w:tc>
        <w:tc>
          <w:tcPr>
            <w:tcW w:w="2869" w:type="dxa"/>
            <w:tcBorders/>
          </w:tcPr>
          <w:p>
            <w:pPr>
              <w:pStyle w:val="ListParagraph"/>
              <w:spacing w:lineRule="auto" w:line="240" w:before="0" w:after="0"/>
              <w:ind w:left="0" w:hanging="0"/>
              <w:contextualSpacing/>
              <w:rPr>
                <w:sz w:val="18"/>
                <w:szCs w:val="18"/>
              </w:rPr>
            </w:pPr>
            <w:r>
              <w:rPr>
                <w:sz w:val="18"/>
                <w:szCs w:val="18"/>
              </w:rPr>
              <w:t>Општинска управа</w:t>
            </w:r>
          </w:p>
        </w:tc>
        <w:tc>
          <w:tcPr>
            <w:tcW w:w="1919"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282.700</w:t>
            </w:r>
            <w:r>
              <w:rPr>
                <w:b w:val="false"/>
                <w:bCs w:val="false"/>
                <w:sz w:val="18"/>
                <w:szCs w:val="18"/>
                <w:lang w:val="en-US"/>
              </w:rPr>
              <w:t>.000</w:t>
            </w:r>
          </w:p>
        </w:tc>
        <w:tc>
          <w:tcPr>
            <w:tcW w:w="1914"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282.700</w:t>
            </w:r>
            <w:r>
              <w:rPr>
                <w:b w:val="false"/>
                <w:bCs w:val="false"/>
                <w:sz w:val="18"/>
                <w:szCs w:val="18"/>
                <w:lang w:val="en-US"/>
              </w:rPr>
              <w:t>.000</w:t>
            </w:r>
          </w:p>
        </w:tc>
        <w:tc>
          <w:tcPr>
            <w:tcW w:w="1916" w:type="dxa"/>
            <w:gridSpan w:val="2"/>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282.700</w:t>
            </w:r>
            <w:r>
              <w:rPr>
                <w:b w:val="false"/>
                <w:bCs w:val="false"/>
                <w:sz w:val="18"/>
                <w:szCs w:val="18"/>
                <w:lang w:val="en-US"/>
              </w:rPr>
              <w:t>.000</w:t>
            </w:r>
          </w:p>
        </w:tc>
      </w:tr>
    </w:tbl>
    <w:p>
      <w:pPr>
        <w:pStyle w:val="ListParagraph"/>
        <w:ind w:left="0" w:hanging="0"/>
        <w:rPr/>
      </w:pPr>
      <w:r>
        <w:rPr/>
      </w:r>
    </w:p>
    <w:p>
      <w:pPr>
        <w:pStyle w:val="ListParagraph"/>
        <w:ind w:left="0" w:firstLine="720"/>
        <w:rPr/>
      </w:pPr>
      <w:r>
        <w:rPr/>
      </w:r>
    </w:p>
    <w:p>
      <w:pPr>
        <w:pStyle w:val="ListParagraph"/>
        <w:ind w:left="0" w:firstLine="720"/>
        <w:rPr/>
      </w:pPr>
      <w:r>
        <w:rPr/>
        <w:t xml:space="preserve"> </w:t>
      </w:r>
      <w:r>
        <w:rPr/>
        <w:t>У прилогу овог упутства налази се табела са лимитима средстава за сваког индиректног корисника појединачно. Индиректни буџетски корисник у оквиру тако добијеног лимита расподељује средства на програме, програмске активности и/или пројекте, користећи прописану економску класификацију на четири цифре.</w:t>
      </w:r>
    </w:p>
    <w:p>
      <w:pPr>
        <w:pStyle w:val="ListParagraph"/>
        <w:ind w:left="0" w:firstLine="720"/>
        <w:rPr/>
      </w:pPr>
      <w:r>
        <w:rPr/>
      </w:r>
    </w:p>
    <w:tbl>
      <w:tblPr>
        <w:tblStyle w:val="TableGrid"/>
        <w:tblW w:w="9576" w:type="dxa"/>
        <w:jc w:val="left"/>
        <w:tblInd w:w="0" w:type="dxa"/>
        <w:tblCellMar>
          <w:top w:w="0" w:type="dxa"/>
          <w:left w:w="108" w:type="dxa"/>
          <w:bottom w:w="0" w:type="dxa"/>
          <w:right w:w="108" w:type="dxa"/>
        </w:tblCellMar>
        <w:tblLook w:val="04a0"/>
      </w:tblPr>
      <w:tblGrid>
        <w:gridCol w:w="958"/>
        <w:gridCol w:w="2869"/>
        <w:gridCol w:w="1919"/>
        <w:gridCol w:w="1914"/>
        <w:gridCol w:w="7"/>
        <w:gridCol w:w="1909"/>
      </w:tblGrid>
      <w:tr>
        <w:trPr>
          <w:trHeight w:val="298" w:hRule="atLeast"/>
        </w:trPr>
        <w:tc>
          <w:tcPr>
            <w:tcW w:w="958" w:type="dxa"/>
            <w:vMerge w:val="restart"/>
            <w:tcBorders/>
          </w:tcPr>
          <w:p>
            <w:pPr>
              <w:pStyle w:val="ListParagraph"/>
              <w:spacing w:lineRule="auto" w:line="240" w:before="0" w:after="0"/>
              <w:ind w:left="0" w:hanging="0"/>
              <w:contextualSpacing/>
              <w:rPr>
                <w:sz w:val="18"/>
                <w:szCs w:val="18"/>
              </w:rPr>
            </w:pPr>
            <w:r>
              <w:rPr>
                <w:sz w:val="18"/>
                <w:szCs w:val="18"/>
              </w:rPr>
              <w:t>Раздео</w:t>
            </w:r>
          </w:p>
          <w:p>
            <w:pPr>
              <w:pStyle w:val="ListParagraph"/>
              <w:spacing w:lineRule="auto" w:line="240" w:before="0" w:after="0"/>
              <w:ind w:left="0" w:hanging="0"/>
              <w:contextualSpacing/>
              <w:rPr>
                <w:sz w:val="18"/>
                <w:szCs w:val="18"/>
              </w:rPr>
            </w:pPr>
            <w:r>
              <w:rPr>
                <w:sz w:val="18"/>
                <w:szCs w:val="18"/>
              </w:rPr>
              <w:t>Глава</w:t>
            </w:r>
          </w:p>
        </w:tc>
        <w:tc>
          <w:tcPr>
            <w:tcW w:w="2869" w:type="dxa"/>
            <w:vMerge w:val="restart"/>
            <w:tcBorders/>
          </w:tcPr>
          <w:p>
            <w:pPr>
              <w:pStyle w:val="ListParagraph"/>
              <w:spacing w:lineRule="auto" w:line="240" w:before="0" w:after="0"/>
              <w:ind w:left="0" w:hanging="0"/>
              <w:contextualSpacing/>
              <w:jc w:val="center"/>
              <w:rPr>
                <w:sz w:val="18"/>
                <w:szCs w:val="18"/>
              </w:rPr>
            </w:pPr>
            <w:r>
              <w:rPr>
                <w:sz w:val="18"/>
                <w:szCs w:val="18"/>
              </w:rPr>
              <w:t>Опис</w:t>
            </w:r>
          </w:p>
        </w:tc>
        <w:tc>
          <w:tcPr>
            <w:tcW w:w="5749" w:type="dxa"/>
            <w:gridSpan w:val="4"/>
            <w:tcBorders/>
          </w:tcPr>
          <w:p>
            <w:pPr>
              <w:pStyle w:val="ListParagraph"/>
              <w:spacing w:lineRule="auto" w:line="240" w:before="0" w:after="0"/>
              <w:ind w:left="0" w:hanging="0"/>
              <w:contextualSpacing/>
              <w:jc w:val="center"/>
              <w:rPr>
                <w:sz w:val="18"/>
                <w:szCs w:val="18"/>
              </w:rPr>
            </w:pPr>
            <w:r>
              <w:rPr>
                <w:sz w:val="18"/>
                <w:szCs w:val="18"/>
              </w:rPr>
              <w:t>Пројекција за</w:t>
            </w:r>
          </w:p>
        </w:tc>
      </w:tr>
      <w:tr>
        <w:trPr>
          <w:trHeight w:val="234" w:hRule="atLeast"/>
        </w:trPr>
        <w:tc>
          <w:tcPr>
            <w:tcW w:w="958" w:type="dxa"/>
            <w:vMerge w:val="continue"/>
            <w:tcBorders/>
          </w:tcPr>
          <w:p>
            <w:pPr>
              <w:pStyle w:val="ListParagraph"/>
              <w:spacing w:lineRule="auto" w:line="240" w:before="0" w:after="0"/>
              <w:ind w:left="0" w:hanging="0"/>
              <w:contextualSpacing/>
              <w:rPr>
                <w:sz w:val="18"/>
                <w:szCs w:val="18"/>
              </w:rPr>
            </w:pPr>
            <w:r>
              <w:rPr>
                <w:sz w:val="18"/>
                <w:szCs w:val="18"/>
              </w:rPr>
            </w:r>
          </w:p>
        </w:tc>
        <w:tc>
          <w:tcPr>
            <w:tcW w:w="2869" w:type="dxa"/>
            <w:vMerge w:val="continue"/>
            <w:tcBorders/>
          </w:tcPr>
          <w:p>
            <w:pPr>
              <w:pStyle w:val="ListParagraph"/>
              <w:spacing w:lineRule="auto" w:line="240" w:before="0" w:after="0"/>
              <w:ind w:left="0" w:hanging="0"/>
              <w:contextualSpacing/>
              <w:jc w:val="center"/>
              <w:rPr>
                <w:sz w:val="18"/>
                <w:szCs w:val="18"/>
              </w:rPr>
            </w:pPr>
            <w:r>
              <w:rPr>
                <w:sz w:val="18"/>
                <w:szCs w:val="18"/>
              </w:rPr>
            </w:r>
          </w:p>
        </w:tc>
        <w:tc>
          <w:tcPr>
            <w:tcW w:w="1919" w:type="dxa"/>
            <w:tcBorders/>
          </w:tcPr>
          <w:p>
            <w:pPr>
              <w:pStyle w:val="ListParagraph"/>
              <w:spacing w:lineRule="auto" w:line="240" w:before="0" w:after="0"/>
              <w:ind w:left="0" w:hanging="0"/>
              <w:contextualSpacing/>
              <w:jc w:val="center"/>
              <w:rPr>
                <w:sz w:val="18"/>
                <w:szCs w:val="18"/>
              </w:rPr>
            </w:pPr>
            <w:r>
              <w:rPr>
                <w:sz w:val="18"/>
                <w:szCs w:val="18"/>
              </w:rPr>
              <w:t>2021.</w:t>
            </w:r>
          </w:p>
        </w:tc>
        <w:tc>
          <w:tcPr>
            <w:tcW w:w="1921" w:type="dxa"/>
            <w:gridSpan w:val="2"/>
            <w:tcBorders/>
          </w:tcPr>
          <w:p>
            <w:pPr>
              <w:pStyle w:val="ListParagraph"/>
              <w:spacing w:lineRule="auto" w:line="240" w:before="0" w:after="0"/>
              <w:ind w:left="0" w:hanging="0"/>
              <w:contextualSpacing/>
              <w:jc w:val="center"/>
              <w:rPr>
                <w:sz w:val="18"/>
                <w:szCs w:val="18"/>
              </w:rPr>
            </w:pPr>
            <w:r>
              <w:rPr>
                <w:sz w:val="18"/>
                <w:szCs w:val="18"/>
              </w:rPr>
              <w:t>2022.</w:t>
            </w:r>
          </w:p>
        </w:tc>
        <w:tc>
          <w:tcPr>
            <w:tcW w:w="1909" w:type="dxa"/>
            <w:tcBorders/>
          </w:tcPr>
          <w:p>
            <w:pPr>
              <w:pStyle w:val="ListParagraph"/>
              <w:spacing w:lineRule="auto" w:line="240" w:before="0" w:after="0"/>
              <w:ind w:left="0" w:hanging="0"/>
              <w:contextualSpacing/>
              <w:jc w:val="center"/>
              <w:rPr>
                <w:sz w:val="18"/>
                <w:szCs w:val="18"/>
              </w:rPr>
            </w:pPr>
            <w:r>
              <w:rPr>
                <w:sz w:val="18"/>
                <w:szCs w:val="18"/>
              </w:rPr>
              <w:t>2023.</w:t>
            </w:r>
          </w:p>
        </w:tc>
      </w:tr>
      <w:tr>
        <w:trPr/>
        <w:tc>
          <w:tcPr>
            <w:tcW w:w="958" w:type="dxa"/>
            <w:tcBorders/>
          </w:tcPr>
          <w:p>
            <w:pPr>
              <w:pStyle w:val="ListParagraph"/>
              <w:spacing w:lineRule="auto" w:line="240" w:before="0" w:after="0"/>
              <w:ind w:left="0" w:hanging="0"/>
              <w:contextualSpacing/>
              <w:rPr>
                <w:sz w:val="18"/>
                <w:szCs w:val="18"/>
              </w:rPr>
            </w:pPr>
            <w:r>
              <w:rPr>
                <w:sz w:val="18"/>
                <w:szCs w:val="18"/>
                <w:lang w:val="sr-RS"/>
              </w:rPr>
              <w:t>5</w:t>
            </w:r>
            <w:r>
              <w:rPr>
                <w:sz w:val="18"/>
                <w:szCs w:val="18"/>
              </w:rPr>
              <w:t>.</w:t>
            </w:r>
            <w:r>
              <w:rPr>
                <w:sz w:val="18"/>
                <w:szCs w:val="18"/>
                <w:lang w:val="sr-RS"/>
              </w:rPr>
              <w:t>1</w:t>
            </w:r>
          </w:p>
        </w:tc>
        <w:tc>
          <w:tcPr>
            <w:tcW w:w="2869" w:type="dxa"/>
            <w:tcBorders/>
          </w:tcPr>
          <w:p>
            <w:pPr>
              <w:pStyle w:val="ListParagraph"/>
              <w:spacing w:lineRule="auto" w:line="240" w:before="0" w:after="0"/>
              <w:ind w:left="0" w:hanging="0"/>
              <w:contextualSpacing/>
              <w:rPr>
                <w:sz w:val="18"/>
                <w:szCs w:val="18"/>
              </w:rPr>
            </w:pPr>
            <w:r>
              <w:rPr>
                <w:sz w:val="18"/>
                <w:szCs w:val="18"/>
              </w:rPr>
              <w:t>Народна библиотека</w:t>
            </w:r>
          </w:p>
        </w:tc>
        <w:tc>
          <w:tcPr>
            <w:tcW w:w="1919"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1</w:t>
            </w:r>
            <w:r>
              <w:rPr>
                <w:b w:val="false"/>
                <w:bCs w:val="false"/>
                <w:sz w:val="18"/>
                <w:szCs w:val="18"/>
                <w:lang w:val="sr-RS"/>
              </w:rPr>
              <w:t>3</w:t>
            </w:r>
            <w:r>
              <w:rPr>
                <w:b w:val="false"/>
                <w:bCs w:val="false"/>
                <w:sz w:val="18"/>
                <w:szCs w:val="18"/>
                <w:lang w:val="sr-RS"/>
              </w:rPr>
              <w:t>.000.000</w:t>
            </w:r>
          </w:p>
        </w:tc>
        <w:tc>
          <w:tcPr>
            <w:tcW w:w="1914" w:type="dxa"/>
            <w:tcBorders/>
          </w:tcPr>
          <w:p>
            <w:pPr>
              <w:pStyle w:val="ListParagraph"/>
              <w:spacing w:lineRule="auto" w:line="240" w:before="0" w:after="0"/>
              <w:ind w:left="0" w:hanging="0"/>
              <w:contextualSpacing/>
              <w:jc w:val="right"/>
              <w:rPr>
                <w:sz w:val="18"/>
                <w:szCs w:val="18"/>
              </w:rPr>
            </w:pPr>
            <w:r>
              <w:rPr>
                <w:b w:val="false"/>
                <w:bCs w:val="false"/>
                <w:sz w:val="18"/>
                <w:szCs w:val="18"/>
                <w:lang w:val="sr-RS"/>
              </w:rPr>
              <w:t>1</w:t>
            </w:r>
            <w:r>
              <w:rPr>
                <w:b w:val="false"/>
                <w:bCs w:val="false"/>
                <w:sz w:val="18"/>
                <w:szCs w:val="18"/>
                <w:lang w:val="sr-RS"/>
              </w:rPr>
              <w:t>3</w:t>
            </w:r>
            <w:r>
              <w:rPr>
                <w:b w:val="false"/>
                <w:bCs w:val="false"/>
                <w:sz w:val="18"/>
                <w:szCs w:val="18"/>
                <w:lang w:val="sr-RS"/>
              </w:rPr>
              <w:t>.000.000</w:t>
            </w:r>
          </w:p>
        </w:tc>
        <w:tc>
          <w:tcPr>
            <w:tcW w:w="1916" w:type="dxa"/>
            <w:gridSpan w:val="2"/>
            <w:tcBorders/>
          </w:tcPr>
          <w:p>
            <w:pPr>
              <w:pStyle w:val="ListParagraph"/>
              <w:spacing w:lineRule="auto" w:line="240" w:before="0" w:after="0"/>
              <w:ind w:left="0" w:hanging="0"/>
              <w:contextualSpacing/>
              <w:jc w:val="right"/>
              <w:rPr>
                <w:sz w:val="18"/>
                <w:szCs w:val="18"/>
              </w:rPr>
            </w:pPr>
            <w:r>
              <w:rPr>
                <w:b w:val="false"/>
                <w:bCs w:val="false"/>
                <w:sz w:val="18"/>
                <w:szCs w:val="18"/>
                <w:lang w:val="sr-RS"/>
              </w:rPr>
              <w:t>1</w:t>
            </w:r>
            <w:r>
              <w:rPr>
                <w:b w:val="false"/>
                <w:bCs w:val="false"/>
                <w:sz w:val="18"/>
                <w:szCs w:val="18"/>
                <w:lang w:val="sr-RS"/>
              </w:rPr>
              <w:t>3</w:t>
            </w:r>
            <w:r>
              <w:rPr>
                <w:b w:val="false"/>
                <w:bCs w:val="false"/>
                <w:sz w:val="18"/>
                <w:szCs w:val="18"/>
                <w:lang w:val="sr-RS"/>
              </w:rPr>
              <w:t>.000.000</w:t>
            </w:r>
          </w:p>
        </w:tc>
      </w:tr>
      <w:tr>
        <w:trPr/>
        <w:tc>
          <w:tcPr>
            <w:tcW w:w="958" w:type="dxa"/>
            <w:tcBorders/>
          </w:tcPr>
          <w:p>
            <w:pPr>
              <w:pStyle w:val="ListParagraph"/>
              <w:spacing w:lineRule="auto" w:line="240" w:before="0" w:after="0"/>
              <w:ind w:left="0" w:hanging="0"/>
              <w:contextualSpacing/>
              <w:rPr>
                <w:sz w:val="18"/>
                <w:szCs w:val="18"/>
              </w:rPr>
            </w:pPr>
            <w:r>
              <w:rPr>
                <w:sz w:val="18"/>
                <w:szCs w:val="18"/>
                <w:lang w:val="sr-RS"/>
              </w:rPr>
              <w:t>5.2</w:t>
            </w:r>
          </w:p>
        </w:tc>
        <w:tc>
          <w:tcPr>
            <w:tcW w:w="2869" w:type="dxa"/>
            <w:tcBorders/>
          </w:tcPr>
          <w:p>
            <w:pPr>
              <w:pStyle w:val="ListParagraph"/>
              <w:spacing w:lineRule="auto" w:line="240" w:before="0" w:after="0"/>
              <w:ind w:left="0" w:hanging="0"/>
              <w:contextualSpacing/>
              <w:rPr>
                <w:sz w:val="18"/>
                <w:szCs w:val="18"/>
              </w:rPr>
            </w:pPr>
            <w:r>
              <w:rPr>
                <w:sz w:val="18"/>
                <w:szCs w:val="18"/>
              </w:rPr>
              <w:t>Спортски центар Ћићевац</w:t>
            </w:r>
          </w:p>
        </w:tc>
        <w:tc>
          <w:tcPr>
            <w:tcW w:w="1919" w:type="dxa"/>
            <w:tcBorders/>
          </w:tcPr>
          <w:p>
            <w:pPr>
              <w:pStyle w:val="ListParagraph"/>
              <w:spacing w:lineRule="auto" w:line="240" w:before="0" w:after="0"/>
              <w:ind w:left="0" w:hanging="0"/>
              <w:contextualSpacing/>
              <w:jc w:val="right"/>
              <w:rPr>
                <w:sz w:val="18"/>
                <w:szCs w:val="18"/>
              </w:rPr>
            </w:pPr>
            <w:r>
              <w:rPr>
                <w:b w:val="false"/>
                <w:bCs w:val="false"/>
                <w:sz w:val="18"/>
                <w:szCs w:val="18"/>
              </w:rPr>
              <w:t>7.000.000</w:t>
            </w:r>
          </w:p>
        </w:tc>
        <w:tc>
          <w:tcPr>
            <w:tcW w:w="1914" w:type="dxa"/>
            <w:tcBorders/>
          </w:tcPr>
          <w:p>
            <w:pPr>
              <w:pStyle w:val="ListParagraph"/>
              <w:spacing w:lineRule="auto" w:line="240" w:before="0" w:after="0"/>
              <w:ind w:left="0" w:hanging="0"/>
              <w:contextualSpacing/>
              <w:jc w:val="right"/>
              <w:rPr>
                <w:sz w:val="18"/>
                <w:szCs w:val="18"/>
              </w:rPr>
            </w:pPr>
            <w:r>
              <w:rPr>
                <w:b w:val="false"/>
                <w:bCs w:val="false"/>
                <w:sz w:val="18"/>
                <w:szCs w:val="18"/>
              </w:rPr>
              <w:t>7.000.000</w:t>
            </w:r>
          </w:p>
        </w:tc>
        <w:tc>
          <w:tcPr>
            <w:tcW w:w="1916" w:type="dxa"/>
            <w:gridSpan w:val="2"/>
            <w:tcBorders/>
          </w:tcPr>
          <w:p>
            <w:pPr>
              <w:pStyle w:val="ListParagraph"/>
              <w:spacing w:lineRule="auto" w:line="240" w:before="0" w:after="0"/>
              <w:ind w:left="0" w:hanging="0"/>
              <w:contextualSpacing/>
              <w:jc w:val="right"/>
              <w:rPr>
                <w:sz w:val="18"/>
                <w:szCs w:val="18"/>
              </w:rPr>
            </w:pPr>
            <w:r>
              <w:rPr>
                <w:b w:val="false"/>
                <w:bCs w:val="false"/>
                <w:sz w:val="18"/>
                <w:szCs w:val="18"/>
              </w:rPr>
              <w:t>7.000.000</w:t>
            </w:r>
          </w:p>
        </w:tc>
      </w:tr>
      <w:tr>
        <w:trPr/>
        <w:tc>
          <w:tcPr>
            <w:tcW w:w="958" w:type="dxa"/>
            <w:tcBorders/>
          </w:tcPr>
          <w:p>
            <w:pPr>
              <w:pStyle w:val="ListParagraph"/>
              <w:spacing w:lineRule="auto" w:line="240" w:before="0" w:after="0"/>
              <w:ind w:left="0" w:hanging="0"/>
              <w:contextualSpacing/>
              <w:rPr>
                <w:sz w:val="18"/>
                <w:szCs w:val="18"/>
              </w:rPr>
            </w:pPr>
            <w:r>
              <w:rPr>
                <w:sz w:val="18"/>
                <w:szCs w:val="18"/>
                <w:lang w:val="sr-RS"/>
              </w:rPr>
              <w:t>5.3</w:t>
            </w:r>
          </w:p>
        </w:tc>
        <w:tc>
          <w:tcPr>
            <w:tcW w:w="2869" w:type="dxa"/>
            <w:tcBorders/>
          </w:tcPr>
          <w:p>
            <w:pPr>
              <w:pStyle w:val="ListParagraph"/>
              <w:spacing w:lineRule="auto" w:line="240" w:before="0" w:after="0"/>
              <w:ind w:left="0" w:hanging="0"/>
              <w:contextualSpacing/>
              <w:rPr>
                <w:sz w:val="18"/>
                <w:szCs w:val="18"/>
              </w:rPr>
            </w:pPr>
            <w:r>
              <w:rPr>
                <w:sz w:val="18"/>
                <w:szCs w:val="18"/>
              </w:rPr>
              <w:t>Спорски центар Сталаћ-Град Сталаћ</w:t>
            </w:r>
          </w:p>
        </w:tc>
        <w:tc>
          <w:tcPr>
            <w:tcW w:w="1919"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3</w:t>
            </w:r>
            <w:r>
              <w:rPr>
                <w:b w:val="false"/>
                <w:bCs w:val="false"/>
                <w:sz w:val="18"/>
                <w:szCs w:val="18"/>
                <w:lang w:val="sr-RS"/>
              </w:rPr>
              <w:t>.500.000</w:t>
            </w:r>
          </w:p>
        </w:tc>
        <w:tc>
          <w:tcPr>
            <w:tcW w:w="1914"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3</w:t>
            </w:r>
            <w:r>
              <w:rPr>
                <w:b w:val="false"/>
                <w:bCs w:val="false"/>
                <w:sz w:val="18"/>
                <w:szCs w:val="18"/>
                <w:lang w:val="sr-RS"/>
              </w:rPr>
              <w:t>.500.000</w:t>
            </w:r>
          </w:p>
        </w:tc>
        <w:tc>
          <w:tcPr>
            <w:tcW w:w="1916" w:type="dxa"/>
            <w:gridSpan w:val="2"/>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3</w:t>
            </w:r>
            <w:r>
              <w:rPr>
                <w:b w:val="false"/>
                <w:bCs w:val="false"/>
                <w:sz w:val="18"/>
                <w:szCs w:val="18"/>
                <w:lang w:val="sr-RS"/>
              </w:rPr>
              <w:t>.500.000</w:t>
            </w:r>
          </w:p>
        </w:tc>
      </w:tr>
      <w:tr>
        <w:trPr/>
        <w:tc>
          <w:tcPr>
            <w:tcW w:w="958" w:type="dxa"/>
            <w:tcBorders/>
          </w:tcPr>
          <w:p>
            <w:pPr>
              <w:pStyle w:val="ListParagraph"/>
              <w:spacing w:lineRule="auto" w:line="240" w:before="0" w:after="0"/>
              <w:ind w:left="0" w:hanging="0"/>
              <w:contextualSpacing/>
              <w:rPr>
                <w:sz w:val="18"/>
                <w:szCs w:val="18"/>
              </w:rPr>
            </w:pPr>
            <w:r>
              <w:rPr>
                <w:sz w:val="18"/>
                <w:szCs w:val="18"/>
                <w:lang w:val="sr-RS"/>
              </w:rPr>
              <w:t>5.4</w:t>
            </w:r>
          </w:p>
        </w:tc>
        <w:tc>
          <w:tcPr>
            <w:tcW w:w="2869" w:type="dxa"/>
            <w:tcBorders/>
          </w:tcPr>
          <w:p>
            <w:pPr>
              <w:pStyle w:val="ListParagraph"/>
              <w:spacing w:lineRule="auto" w:line="240" w:before="0" w:after="0"/>
              <w:ind w:left="0" w:hanging="0"/>
              <w:contextualSpacing/>
              <w:rPr>
                <w:sz w:val="18"/>
                <w:szCs w:val="18"/>
              </w:rPr>
            </w:pPr>
            <w:r>
              <w:rPr>
                <w:rFonts w:eastAsia="Calibri" w:cs="" w:cstheme="minorBidi" w:eastAsiaTheme="minorHAnsi"/>
                <w:color w:val="auto"/>
                <w:kern w:val="0"/>
                <w:sz w:val="18"/>
                <w:szCs w:val="18"/>
                <w:lang w:val="sr-RS" w:eastAsia="en-US" w:bidi="ar-SA"/>
              </w:rPr>
              <w:t>Предшколска установа</w:t>
            </w:r>
          </w:p>
        </w:tc>
        <w:tc>
          <w:tcPr>
            <w:tcW w:w="1919"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43</w:t>
            </w:r>
            <w:r>
              <w:rPr>
                <w:b w:val="false"/>
                <w:bCs w:val="false"/>
                <w:sz w:val="18"/>
                <w:szCs w:val="18"/>
                <w:lang w:val="sr-RS"/>
              </w:rPr>
              <w:t>.</w:t>
            </w:r>
            <w:r>
              <w:rPr>
                <w:b w:val="false"/>
                <w:bCs w:val="false"/>
                <w:sz w:val="18"/>
                <w:szCs w:val="18"/>
                <w:lang w:val="sr-RS"/>
              </w:rPr>
              <w:t>0</w:t>
            </w:r>
            <w:r>
              <w:rPr>
                <w:b w:val="false"/>
                <w:bCs w:val="false"/>
                <w:sz w:val="18"/>
                <w:szCs w:val="18"/>
                <w:lang w:val="sr-RS"/>
              </w:rPr>
              <w:t>00.000</w:t>
            </w:r>
          </w:p>
        </w:tc>
        <w:tc>
          <w:tcPr>
            <w:tcW w:w="1914"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43</w:t>
            </w:r>
            <w:r>
              <w:rPr>
                <w:b w:val="false"/>
                <w:bCs w:val="false"/>
                <w:sz w:val="18"/>
                <w:szCs w:val="18"/>
                <w:lang w:val="sr-RS"/>
              </w:rPr>
              <w:t>.</w:t>
            </w:r>
            <w:r>
              <w:rPr>
                <w:b w:val="false"/>
                <w:bCs w:val="false"/>
                <w:sz w:val="18"/>
                <w:szCs w:val="18"/>
                <w:lang w:val="sr-RS"/>
              </w:rPr>
              <w:t>0</w:t>
            </w:r>
            <w:r>
              <w:rPr>
                <w:b w:val="false"/>
                <w:bCs w:val="false"/>
                <w:sz w:val="18"/>
                <w:szCs w:val="18"/>
                <w:lang w:val="sr-RS"/>
              </w:rPr>
              <w:t>00.000</w:t>
            </w:r>
          </w:p>
        </w:tc>
        <w:tc>
          <w:tcPr>
            <w:tcW w:w="1916" w:type="dxa"/>
            <w:gridSpan w:val="2"/>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43</w:t>
            </w:r>
            <w:r>
              <w:rPr>
                <w:b w:val="false"/>
                <w:bCs w:val="false"/>
                <w:sz w:val="18"/>
                <w:szCs w:val="18"/>
                <w:lang w:val="sr-RS"/>
              </w:rPr>
              <w:t>.</w:t>
            </w:r>
            <w:r>
              <w:rPr>
                <w:b w:val="false"/>
                <w:bCs w:val="false"/>
                <w:sz w:val="18"/>
                <w:szCs w:val="18"/>
                <w:lang w:val="sr-RS"/>
              </w:rPr>
              <w:t>0</w:t>
            </w:r>
            <w:r>
              <w:rPr>
                <w:b w:val="false"/>
                <w:bCs w:val="false"/>
                <w:sz w:val="18"/>
                <w:szCs w:val="18"/>
                <w:lang w:val="sr-RS"/>
              </w:rPr>
              <w:t>00.000</w:t>
            </w:r>
          </w:p>
        </w:tc>
      </w:tr>
      <w:tr>
        <w:trPr/>
        <w:tc>
          <w:tcPr>
            <w:tcW w:w="958" w:type="dxa"/>
            <w:tcBorders/>
          </w:tcPr>
          <w:p>
            <w:pPr>
              <w:pStyle w:val="ListParagraph"/>
              <w:spacing w:lineRule="auto" w:line="240" w:before="0" w:after="0"/>
              <w:ind w:left="0" w:hanging="0"/>
              <w:contextualSpacing/>
              <w:rPr>
                <w:sz w:val="18"/>
                <w:szCs w:val="18"/>
              </w:rPr>
            </w:pPr>
            <w:r>
              <w:rPr>
                <w:sz w:val="18"/>
                <w:szCs w:val="18"/>
                <w:lang w:val="sr-RS"/>
              </w:rPr>
              <w:t>5.5</w:t>
            </w:r>
          </w:p>
        </w:tc>
        <w:tc>
          <w:tcPr>
            <w:tcW w:w="2869" w:type="dxa"/>
            <w:tcBorders/>
          </w:tcPr>
          <w:p>
            <w:pPr>
              <w:pStyle w:val="ListParagraph"/>
              <w:spacing w:lineRule="auto" w:line="240" w:before="0" w:after="0"/>
              <w:ind w:left="0" w:hanging="0"/>
              <w:contextualSpacing/>
              <w:rPr>
                <w:sz w:val="18"/>
                <w:szCs w:val="18"/>
              </w:rPr>
            </w:pPr>
            <w:r>
              <w:rPr>
                <w:rFonts w:eastAsia="Calibri" w:cs="" w:cstheme="minorBidi" w:eastAsiaTheme="minorHAnsi"/>
                <w:color w:val="auto"/>
                <w:kern w:val="0"/>
                <w:sz w:val="18"/>
                <w:szCs w:val="18"/>
                <w:lang w:val="sr-RS" w:eastAsia="en-US" w:bidi="ar-SA"/>
              </w:rPr>
              <w:t>Месне заједнице</w:t>
            </w:r>
          </w:p>
        </w:tc>
        <w:tc>
          <w:tcPr>
            <w:tcW w:w="1919"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2.500.</w:t>
            </w:r>
            <w:r>
              <w:rPr>
                <w:b w:val="false"/>
                <w:bCs w:val="false"/>
                <w:sz w:val="18"/>
                <w:szCs w:val="18"/>
                <w:lang w:val="sr-RS"/>
              </w:rPr>
              <w:t>000</w:t>
            </w:r>
          </w:p>
        </w:tc>
        <w:tc>
          <w:tcPr>
            <w:tcW w:w="1914" w:type="dxa"/>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2.500.</w:t>
            </w:r>
            <w:r>
              <w:rPr>
                <w:b w:val="false"/>
                <w:bCs w:val="false"/>
                <w:sz w:val="18"/>
                <w:szCs w:val="18"/>
                <w:lang w:val="sr-RS"/>
              </w:rPr>
              <w:t>000</w:t>
            </w:r>
          </w:p>
        </w:tc>
        <w:tc>
          <w:tcPr>
            <w:tcW w:w="1916" w:type="dxa"/>
            <w:gridSpan w:val="2"/>
            <w:tcBorders/>
          </w:tcPr>
          <w:p>
            <w:pPr>
              <w:pStyle w:val="ListParagraph"/>
              <w:spacing w:lineRule="auto" w:line="240" w:before="0" w:after="0"/>
              <w:ind w:left="0" w:hanging="0"/>
              <w:contextualSpacing/>
              <w:jc w:val="right"/>
              <w:rPr>
                <w:sz w:val="18"/>
                <w:szCs w:val="18"/>
              </w:rPr>
            </w:pPr>
            <w:r>
              <w:rPr>
                <w:rFonts w:eastAsia="Calibri" w:cs="" w:cstheme="minorBidi" w:eastAsiaTheme="minorHAnsi"/>
                <w:b w:val="false"/>
                <w:bCs w:val="false"/>
                <w:color w:val="auto"/>
                <w:kern w:val="0"/>
                <w:sz w:val="18"/>
                <w:szCs w:val="18"/>
                <w:lang w:val="sr-RS" w:eastAsia="en-US" w:bidi="ar-SA"/>
              </w:rPr>
              <w:t>2.500.</w:t>
            </w:r>
            <w:r>
              <w:rPr>
                <w:b w:val="false"/>
                <w:bCs w:val="false"/>
                <w:sz w:val="18"/>
                <w:szCs w:val="18"/>
                <w:lang w:val="sr-RS"/>
              </w:rPr>
              <w:t>000</w:t>
            </w:r>
          </w:p>
        </w:tc>
      </w:tr>
      <w:tr>
        <w:trPr/>
        <w:tc>
          <w:tcPr>
            <w:tcW w:w="958" w:type="dxa"/>
            <w:tcBorders/>
          </w:tcPr>
          <w:p>
            <w:pPr>
              <w:pStyle w:val="ListParagraph"/>
              <w:spacing w:lineRule="auto" w:line="240" w:before="0" w:after="0"/>
              <w:ind w:left="0" w:hanging="0"/>
              <w:contextualSpacing/>
              <w:rPr>
                <w:sz w:val="18"/>
                <w:szCs w:val="18"/>
              </w:rPr>
            </w:pPr>
            <w:r>
              <w:rPr>
                <w:sz w:val="18"/>
                <w:szCs w:val="18"/>
              </w:rPr>
            </w:r>
          </w:p>
        </w:tc>
        <w:tc>
          <w:tcPr>
            <w:tcW w:w="2869" w:type="dxa"/>
            <w:tcBorders/>
          </w:tcPr>
          <w:p>
            <w:pPr>
              <w:pStyle w:val="ListParagraph"/>
              <w:spacing w:lineRule="auto" w:line="240" w:before="0" w:after="0"/>
              <w:ind w:left="0" w:hanging="0"/>
              <w:contextualSpacing/>
              <w:rPr>
                <w:sz w:val="18"/>
                <w:szCs w:val="18"/>
              </w:rPr>
            </w:pPr>
            <w:r>
              <w:rPr>
                <w:sz w:val="18"/>
                <w:szCs w:val="18"/>
                <w:lang w:val="sr-RS"/>
              </w:rPr>
              <w:t>Укупно за директне и индиректне кориснике</w:t>
            </w:r>
          </w:p>
        </w:tc>
        <w:tc>
          <w:tcPr>
            <w:tcW w:w="1919" w:type="dxa"/>
            <w:tcBorders/>
          </w:tcPr>
          <w:p>
            <w:pPr>
              <w:pStyle w:val="ListParagraph"/>
              <w:spacing w:lineRule="auto" w:line="240" w:before="0" w:after="0"/>
              <w:ind w:left="0" w:hanging="0"/>
              <w:contextualSpacing/>
              <w:jc w:val="right"/>
              <w:rPr>
                <w:sz w:val="18"/>
                <w:szCs w:val="18"/>
              </w:rPr>
            </w:pPr>
            <w:r>
              <w:rPr>
                <w:b/>
                <w:bCs/>
                <w:sz w:val="18"/>
                <w:szCs w:val="18"/>
                <w:lang w:val="sr-RS"/>
              </w:rPr>
              <w:t>395.900.000</w:t>
            </w:r>
          </w:p>
        </w:tc>
        <w:tc>
          <w:tcPr>
            <w:tcW w:w="1914" w:type="dxa"/>
            <w:tcBorders/>
          </w:tcPr>
          <w:p>
            <w:pPr>
              <w:pStyle w:val="ListParagraph"/>
              <w:spacing w:lineRule="auto" w:line="240" w:before="0" w:after="0"/>
              <w:ind w:left="0" w:hanging="0"/>
              <w:contextualSpacing/>
              <w:jc w:val="right"/>
              <w:rPr>
                <w:sz w:val="18"/>
                <w:szCs w:val="18"/>
              </w:rPr>
            </w:pPr>
            <w:r>
              <w:rPr>
                <w:b/>
                <w:bCs/>
                <w:sz w:val="18"/>
                <w:szCs w:val="18"/>
                <w:lang w:val="en-US"/>
              </w:rPr>
              <w:t>395.900.000</w:t>
            </w:r>
          </w:p>
        </w:tc>
        <w:tc>
          <w:tcPr>
            <w:tcW w:w="1916" w:type="dxa"/>
            <w:gridSpan w:val="2"/>
            <w:tcBorders/>
          </w:tcPr>
          <w:p>
            <w:pPr>
              <w:pStyle w:val="ListParagraph"/>
              <w:spacing w:lineRule="auto" w:line="240" w:before="0" w:after="0"/>
              <w:ind w:left="0" w:hanging="0"/>
              <w:contextualSpacing/>
              <w:jc w:val="right"/>
              <w:rPr>
                <w:sz w:val="18"/>
                <w:szCs w:val="18"/>
              </w:rPr>
            </w:pPr>
            <w:r>
              <w:rPr>
                <w:b/>
                <w:bCs/>
                <w:sz w:val="18"/>
                <w:szCs w:val="18"/>
                <w:lang w:val="sr-RS"/>
              </w:rPr>
              <w:t>395.900.000</w:t>
            </w:r>
          </w:p>
        </w:tc>
      </w:tr>
    </w:tbl>
    <w:p>
      <w:pPr>
        <w:pStyle w:val="ListParagraph"/>
        <w:ind w:left="0" w:firstLine="720"/>
        <w:rPr/>
      </w:pPr>
      <w:r>
        <w:rPr/>
      </w:r>
    </w:p>
    <w:p>
      <w:pPr>
        <w:pStyle w:val="ListParagraph"/>
        <w:ind w:left="0" w:firstLine="720"/>
        <w:rPr/>
      </w:pPr>
      <w:r>
        <w:rPr/>
      </w:r>
    </w:p>
    <w:p>
      <w:pPr>
        <w:pStyle w:val="ListParagraph"/>
        <w:ind w:left="0" w:firstLine="720"/>
        <w:rPr/>
      </w:pPr>
      <w:r>
        <w:rPr/>
        <w:t xml:space="preserve"> </w:t>
      </w:r>
      <w:r>
        <w:rPr/>
        <w:t xml:space="preserve">Индиректни буџетски корисник може доставити и захтев за додатна средства, при чему наводи програм, програмску активност или пројекат, и детаљно га образлаже директном кориснику у допису уз предлог финансијског плана. </w:t>
      </w:r>
    </w:p>
    <w:p>
      <w:pPr>
        <w:pStyle w:val="ListParagraph"/>
        <w:ind w:left="0" w:firstLine="720"/>
        <w:rPr/>
      </w:pPr>
      <w:r>
        <w:rPr/>
      </w:r>
    </w:p>
    <w:p>
      <w:pPr>
        <w:pStyle w:val="ListParagraph"/>
        <w:ind w:left="0" w:firstLine="720"/>
        <w:rPr>
          <w:b/>
          <w:b/>
        </w:rPr>
      </w:pPr>
      <w:r>
        <w:rPr>
          <w:b/>
        </w:rPr>
        <w:t>V СМЕРНИЦЕ ЗА ПРИПРЕМУ СРЕДЊОРОЧНИХ ПЛАНОВА</w:t>
      </w:r>
    </w:p>
    <w:p>
      <w:pPr>
        <w:pStyle w:val="ListParagraph"/>
        <w:ind w:left="0" w:firstLine="720"/>
        <w:rPr>
          <w:b/>
          <w:b/>
        </w:rPr>
      </w:pPr>
      <w:r>
        <w:rPr>
          <w:b/>
        </w:rPr>
      </w:r>
    </w:p>
    <w:p>
      <w:pPr>
        <w:pStyle w:val="ListParagraph"/>
        <w:ind w:left="0" w:firstLine="720"/>
        <w:rPr/>
      </w:pPr>
      <w:r>
        <w:rPr/>
        <w:t xml:space="preserve"> </w:t>
      </w:r>
      <w:r>
        <w:rPr/>
        <w:t xml:space="preserve">Према дефиницијама Закона о буџетском систему, средњорочни план је свеобухватни план буџетског корисника који садржи детаљну разраду програма, пројеката и програмских активности за буџетску годину са пројекцијама за наредне две године, према средњорочним циљевима и приоритетима, који служе као основа за израду образложења финансијског плана тог корисника и израђује се у складу са упутством за припрему буџета. Програмска структура корисника буџетских средстава, дефинише индикаторе остварења циљева за трогодишњи период, и на тај начин интегрише средњорочне циљеве који су дефинисани стратешким и другим планским документима из надлежности буџетског корисника. </w:t>
      </w:r>
    </w:p>
    <w:p>
      <w:pPr>
        <w:pStyle w:val="ListParagraph"/>
        <w:ind w:left="0" w:firstLine="720"/>
        <w:rPr/>
      </w:pPr>
      <w:r>
        <w:rPr/>
        <w:t xml:space="preserve">Основна смерница за средњорочно утврђивање циљева који се имплементирају кроз програмски модел буџета дефинисањем трогодишњих мерљивих индикатора, налаже крајње опрезан, приступ, руковођен детаљним анализама и пројекцијама које се морају заснивати и на пажљивом  сагледавању и дефинисању ризика, а како би обавезе које преузимају буџетски корисници биле преузете уз највиши степен фискалне одговорности. </w:t>
      </w:r>
    </w:p>
    <w:p>
      <w:pPr>
        <w:pStyle w:val="ListParagraph"/>
        <w:ind w:left="0" w:firstLine="720"/>
        <w:rPr/>
      </w:pPr>
      <w:r>
        <w:rPr/>
      </w:r>
    </w:p>
    <w:p>
      <w:pPr>
        <w:pStyle w:val="ListParagraph"/>
        <w:ind w:left="0" w:firstLine="720"/>
        <w:rPr/>
      </w:pPr>
      <w:r>
        <w:rPr/>
      </w:r>
    </w:p>
    <w:p>
      <w:pPr>
        <w:pStyle w:val="ListParagraph"/>
        <w:ind w:left="0" w:firstLine="720"/>
        <w:rPr>
          <w:b/>
          <w:b/>
        </w:rPr>
      </w:pPr>
      <w:r>
        <w:rPr>
          <w:b/>
        </w:rPr>
        <w:t>VI ПОСТУПАК И ДИНАМИКА ПРИПРЕМЕ БУЏЕТА ОПШТИНЕ ЋИЋЕВАЦ И ПРЕДЛОГА ФИНАНСИЈСКИХ ПЛАНОВА КОРИСНИКА СРЕДСТАВА БУЏЕТА ОПШТИНЕ ЋИЋЕВАЦ</w:t>
      </w:r>
    </w:p>
    <w:p>
      <w:pPr>
        <w:pStyle w:val="ListParagraph"/>
        <w:ind w:left="0" w:firstLine="720"/>
        <w:rPr/>
      </w:pPr>
      <w:r>
        <w:rPr/>
      </w:r>
    </w:p>
    <w:p>
      <w:pPr>
        <w:pStyle w:val="ListParagraph"/>
        <w:ind w:left="0" w:firstLine="720"/>
        <w:rPr/>
      </w:pPr>
      <w:r>
        <w:rPr/>
        <w:t xml:space="preserve"> </w:t>
      </w:r>
      <w:r>
        <w:rPr/>
        <w:t>У складу са чланом 40. Закона о буџетском систему, локални орган управе надлежан за финансије доставља директним корисницима средстава буџета локалне власти упутство за припрему буџета локалне власти.</w:t>
      </w:r>
    </w:p>
    <w:p>
      <w:pPr>
        <w:pStyle w:val="ListParagraph"/>
        <w:ind w:left="0" w:firstLine="720"/>
        <w:rPr/>
      </w:pPr>
      <w:r>
        <w:rPr/>
        <w:t xml:space="preserve"> </w:t>
      </w:r>
      <w:r>
        <w:rPr/>
        <w:t xml:space="preserve">На основу упутства за припрему буџета, корисници буџетских средстава припремају предлог финансијског плана по програмском моделу. </w:t>
      </w:r>
    </w:p>
    <w:p>
      <w:pPr>
        <w:pStyle w:val="ListParagraph"/>
        <w:ind w:left="0" w:firstLine="720"/>
        <w:rPr/>
      </w:pPr>
      <w:r>
        <w:rPr/>
        <w:t>Предлог финансиског плана буџетског корисника треба да садржи детаљну разраду свих програма, програмских активности и пројеката за наредну годину, са пројекцијама за наредне две године и то у складу са средњорочним циљевима и приоритетима који су утврђени Стратегијом одрживог развоја општине Ћићевац.</w:t>
      </w:r>
    </w:p>
    <w:p>
      <w:pPr>
        <w:pStyle w:val="ListParagraph"/>
        <w:ind w:left="0" w:firstLine="720"/>
        <w:rPr/>
      </w:pPr>
      <w:r>
        <w:rPr/>
      </w:r>
    </w:p>
    <w:p>
      <w:pPr>
        <w:pStyle w:val="ListParagraph"/>
        <w:ind w:left="0" w:firstLine="720"/>
        <w:rPr/>
      </w:pPr>
      <w:r>
        <w:rPr/>
        <w:t xml:space="preserve"> </w:t>
      </w:r>
      <w:r>
        <w:rPr/>
        <w:t>Предлог финансијског плана обухвата:</w:t>
      </w:r>
    </w:p>
    <w:p>
      <w:pPr>
        <w:pStyle w:val="ListParagraph"/>
        <w:ind w:left="0" w:firstLine="720"/>
        <w:rPr/>
      </w:pPr>
      <w:r>
        <w:rPr/>
      </w:r>
    </w:p>
    <w:p>
      <w:pPr>
        <w:pStyle w:val="ListParagraph"/>
        <w:rPr/>
      </w:pPr>
      <w:r>
        <w:rPr/>
        <w:t xml:space="preserve"> </w:t>
      </w:r>
      <w:r>
        <w:rPr/>
        <w:t>1)приходе и примања , расходе и издатке за трогодишњи период, исказане по буџетској класификацији;</w:t>
      </w:r>
    </w:p>
    <w:p>
      <w:pPr>
        <w:pStyle w:val="ListParagraph"/>
        <w:ind w:left="0" w:firstLine="720"/>
        <w:rPr/>
      </w:pPr>
      <w:r>
        <w:rPr/>
        <w:t xml:space="preserve"> </w:t>
      </w:r>
      <w:r>
        <w:rPr/>
        <w:t>2) детаљно писано образложење расхода и издатака, као и извора финансирања;</w:t>
      </w:r>
    </w:p>
    <w:p>
      <w:pPr>
        <w:pStyle w:val="ListParagraph"/>
        <w:ind w:left="0" w:firstLine="720"/>
        <w:rPr/>
      </w:pPr>
      <w:r>
        <w:rPr/>
        <w:t xml:space="preserve"> </w:t>
      </w:r>
      <w:r>
        <w:rPr/>
        <w:t>3) родну анализу расхода и издатака;</w:t>
      </w:r>
    </w:p>
    <w:p>
      <w:pPr>
        <w:pStyle w:val="ListParagraph"/>
        <w:ind w:left="0" w:firstLine="720"/>
        <w:rPr/>
      </w:pPr>
      <w:r>
        <w:rPr/>
        <w:t xml:space="preserve"> </w:t>
      </w:r>
      <w:r>
        <w:rPr/>
        <w:t>4) програмске информације .</w:t>
      </w:r>
    </w:p>
    <w:p>
      <w:pPr>
        <w:pStyle w:val="ListParagraph"/>
        <w:ind w:left="0" w:firstLine="720"/>
        <w:rPr/>
      </w:pPr>
      <w:r>
        <w:rPr/>
      </w:r>
    </w:p>
    <w:p>
      <w:pPr>
        <w:pStyle w:val="ListParagraph"/>
        <w:ind w:left="0" w:firstLine="720"/>
        <w:rPr/>
      </w:pPr>
      <w:r>
        <w:rPr/>
        <w:t xml:space="preserve"> </w:t>
      </w:r>
      <w:r>
        <w:rPr/>
        <w:t xml:space="preserve">Предлог финансијског плана садржи следеће табеле (обрасце): </w:t>
      </w:r>
    </w:p>
    <w:p>
      <w:pPr>
        <w:pStyle w:val="ListParagraph"/>
        <w:ind w:left="0" w:firstLine="720"/>
        <w:rPr/>
      </w:pPr>
      <w:r>
        <w:rPr/>
      </w:r>
    </w:p>
    <w:p>
      <w:pPr>
        <w:pStyle w:val="ListParagraph"/>
        <w:ind w:left="0" w:firstLine="720"/>
        <w:rPr/>
      </w:pPr>
      <w:r>
        <w:rPr/>
        <w:t xml:space="preserve">1) План прихода и примања , расхода и издатака, </w:t>
      </w:r>
    </w:p>
    <w:p>
      <w:pPr>
        <w:pStyle w:val="ListParagraph"/>
        <w:ind w:left="0" w:firstLine="720"/>
        <w:rPr/>
      </w:pPr>
      <w:r>
        <w:rPr/>
        <w:t>2) Програмску структуру плана са дефинисаним циљевима и индикаторима,</w:t>
      </w:r>
    </w:p>
    <w:p>
      <w:pPr>
        <w:pStyle w:val="ListParagraph"/>
        <w:ind w:left="0" w:firstLine="720"/>
        <w:rPr/>
      </w:pPr>
      <w:r>
        <w:rPr/>
        <w:t xml:space="preserve"> </w:t>
      </w:r>
      <w:r>
        <w:rPr/>
        <w:t>3) План капиталних улагања и</w:t>
      </w:r>
    </w:p>
    <w:p>
      <w:pPr>
        <w:pStyle w:val="ListParagraph"/>
        <w:ind w:left="0" w:firstLine="720"/>
        <w:rPr/>
      </w:pPr>
      <w:r>
        <w:rPr/>
        <w:t xml:space="preserve"> </w:t>
      </w:r>
      <w:r>
        <w:rPr/>
        <w:t xml:space="preserve">4) План плата и броја запослених. </w:t>
      </w:r>
    </w:p>
    <w:p>
      <w:pPr>
        <w:pStyle w:val="ListParagraph"/>
        <w:ind w:left="0" w:firstLine="720"/>
        <w:rPr/>
      </w:pPr>
      <w:r>
        <w:rPr/>
        <w:t>Као прилог предлога финансијског плана директни корисници буџетских средстава достављају извештај о учинку програма за првих шест месеци текуће године.</w:t>
      </w:r>
    </w:p>
    <w:p>
      <w:pPr>
        <w:pStyle w:val="ListParagraph"/>
        <w:ind w:left="0" w:firstLine="720"/>
        <w:rPr/>
      </w:pPr>
      <w:r>
        <w:rPr/>
      </w:r>
    </w:p>
    <w:p>
      <w:pPr>
        <w:pStyle w:val="ListParagraph"/>
        <w:ind w:left="0" w:firstLine="720"/>
        <w:rPr>
          <w:b/>
          <w:b/>
        </w:rPr>
      </w:pPr>
      <w:r>
        <w:rPr>
          <w:b/>
        </w:rPr>
        <w:t xml:space="preserve"> </w:t>
      </w:r>
      <w:r>
        <w:rPr>
          <w:b/>
        </w:rPr>
        <w:t xml:space="preserve">Календар буџета локалне власти: </w:t>
      </w:r>
    </w:p>
    <w:p>
      <w:pPr>
        <w:pStyle w:val="ListParagraph"/>
        <w:ind w:left="0" w:firstLine="720"/>
        <w:rPr>
          <w:b/>
          <w:b/>
        </w:rPr>
      </w:pPr>
      <w:r>
        <w:rPr>
          <w:b/>
        </w:rPr>
      </w:r>
    </w:p>
    <w:p>
      <w:pPr>
        <w:pStyle w:val="ListParagraph"/>
        <w:ind w:left="0" w:firstLine="720"/>
        <w:rPr/>
      </w:pPr>
      <w:r>
        <w:rPr/>
        <w:t>1) 1. август – локални орган надлежан за финансије  доставља упутство за припрему нацрта буџета општине;</w:t>
      </w:r>
    </w:p>
    <w:p>
      <w:pPr>
        <w:pStyle w:val="ListParagraph"/>
        <w:ind w:left="0" w:firstLine="720"/>
        <w:rPr/>
      </w:pPr>
      <w:r>
        <w:rPr/>
        <w:t xml:space="preserve">2) </w:t>
      </w:r>
      <w:r>
        <w:rPr>
          <w:b/>
          <w:bCs/>
        </w:rPr>
        <w:t>1. септембар – директни</w:t>
      </w:r>
      <w:r>
        <w:rPr>
          <w:b/>
          <w:bCs/>
          <w:lang w:val="sr-RS"/>
        </w:rPr>
        <w:t xml:space="preserve"> и индиректни  </w:t>
      </w:r>
      <w:r>
        <w:rPr>
          <w:b/>
          <w:bCs/>
        </w:rPr>
        <w:t>корисници средстава буџета локалне власти достављају  предлог финансијског плана  локалном органу управе надлежном за финансије за буџетску и наредне две фискалне године који садржи извештај о учинку програма за првих шест месеци текуће године;</w:t>
      </w:r>
    </w:p>
    <w:p>
      <w:pPr>
        <w:pStyle w:val="ListParagraph"/>
        <w:ind w:left="0" w:firstLine="720"/>
        <w:rPr/>
      </w:pPr>
      <w:r>
        <w:rPr/>
        <w:t xml:space="preserve"> </w:t>
      </w:r>
      <w:r>
        <w:rPr/>
        <w:t xml:space="preserve">3) 15. октобар – локални орган управе надлежан за финансије  доставља нацрт одлуке о буџету Општинском већу </w:t>
      </w:r>
    </w:p>
    <w:p>
      <w:pPr>
        <w:pStyle w:val="ListParagraph"/>
        <w:ind w:left="0" w:firstLine="720"/>
        <w:rPr/>
      </w:pPr>
      <w:r>
        <w:rPr/>
        <w:t>4) 1. новембар – Општинско веће општине Ћићевац, доставља предлог одлуке о буџету Скупштини општине;</w:t>
      </w:r>
    </w:p>
    <w:p>
      <w:pPr>
        <w:pStyle w:val="ListParagraph"/>
        <w:ind w:left="0" w:firstLine="720"/>
        <w:rPr/>
      </w:pPr>
      <w:r>
        <w:rPr/>
        <w:t xml:space="preserve"> </w:t>
      </w:r>
      <w:r>
        <w:rPr/>
        <w:t>5) 20. децембар - Скупштина општине Ћићевац доноси одлуку о буџету општине;</w:t>
      </w:r>
    </w:p>
    <w:p>
      <w:pPr>
        <w:pStyle w:val="ListParagraph"/>
        <w:ind w:left="0" w:firstLine="720"/>
        <w:rPr/>
      </w:pPr>
      <w:r>
        <w:rPr/>
        <w:t xml:space="preserve"> </w:t>
      </w:r>
      <w:r>
        <w:rPr/>
        <w:t xml:space="preserve">6) 25. децембар –  локални орган управе надлежан за финансије  доставља министру одлуку о буџету општине. </w:t>
      </w:r>
    </w:p>
    <w:p>
      <w:pPr>
        <w:pStyle w:val="ListParagraph"/>
        <w:ind w:left="0" w:firstLine="720"/>
        <w:rPr/>
      </w:pPr>
      <w:r>
        <w:rPr/>
        <w:t>Рокови из става 1. овог члана представљају крајње рокове у буџетском календару.</w:t>
      </w:r>
    </w:p>
    <w:p>
      <w:pPr>
        <w:pStyle w:val="ListParagraph"/>
        <w:ind w:left="0" w:firstLine="720"/>
        <w:rPr/>
      </w:pPr>
      <w:r>
        <w:rPr/>
      </w:r>
    </w:p>
    <w:p>
      <w:pPr>
        <w:pStyle w:val="ListParagraph"/>
        <w:ind w:left="0" w:firstLine="720"/>
        <w:rPr>
          <w:b/>
          <w:b/>
        </w:rPr>
      </w:pPr>
      <w:r>
        <w:rPr>
          <w:b/>
        </w:rPr>
        <w:t>VII НАЧИН НА КОЈИ ЋЕ СЕ У БУЏЕТУ ИСКАЗАТИ РОДНА АНАЛИЗА БУЏЕТА ЛОКАЛНЕ ВЛАСТИ</w:t>
      </w:r>
    </w:p>
    <w:p>
      <w:pPr>
        <w:pStyle w:val="ListParagraph"/>
        <w:ind w:left="0" w:firstLine="720"/>
        <w:rPr>
          <w:b/>
          <w:b/>
        </w:rPr>
      </w:pPr>
      <w:r>
        <w:rPr>
          <w:b/>
        </w:rPr>
      </w:r>
    </w:p>
    <w:p>
      <w:pPr>
        <w:pStyle w:val="ListParagraph"/>
        <w:ind w:left="0" w:firstLine="720"/>
        <w:rPr>
          <w:b/>
          <w:b/>
        </w:rPr>
      </w:pPr>
      <w:r>
        <w:rPr>
          <w:b/>
        </w:rPr>
      </w:r>
    </w:p>
    <w:p>
      <w:pPr>
        <w:pStyle w:val="ListParagraph"/>
        <w:ind w:left="0" w:firstLine="720"/>
        <w:rPr/>
      </w:pPr>
      <w:r>
        <w:rPr/>
        <w:t xml:space="preserve"> </w:t>
      </w:r>
      <w:r>
        <w:rPr/>
        <w:t xml:space="preserve">У оквиру спровођења реформе јавних финансија започет је процес унапређења програмског модела буџета кроз увођење принципа родно одговорног буџетирања у буџетски процес. </w:t>
      </w:r>
    </w:p>
    <w:p>
      <w:pPr>
        <w:pStyle w:val="ListParagraph"/>
        <w:ind w:left="0" w:firstLine="720"/>
        <w:rPr/>
      </w:pPr>
      <w:r>
        <w:rPr/>
        <w:t xml:space="preserve"> </w:t>
      </w:r>
      <w:r>
        <w:rPr/>
        <w:t>До 202</w:t>
      </w:r>
      <w:r>
        <w:rPr>
          <w:lang w:val="sr-RS"/>
        </w:rPr>
        <w:t>2.</w:t>
      </w:r>
      <w:r>
        <w:rPr/>
        <w:t xml:space="preserve"> године предвиђено је да се заокружи процес постепеног увођења родно одговорног буџетирања за све буџетске кориснике на свим нивоима власти, сходно члану 16. став 1. Закона о изменама и допунама Закона о буџетском систему (Службени гласник РС, број 103/2015 </w:t>
      </w:r>
      <w:r>
        <w:rPr>
          <w:lang w:val="sr-RS"/>
        </w:rPr>
        <w:t>и 72/19</w:t>
      </w:r>
      <w:r>
        <w:rPr/>
        <w:t>) , путем плана његовог постепеног увођења који доноси орган надлежан за буџет јединице локалне самоуправе.</w:t>
      </w:r>
    </w:p>
    <w:p>
      <w:pPr>
        <w:pStyle w:val="ListParagraph"/>
        <w:ind w:left="0" w:firstLine="720"/>
        <w:rPr/>
      </w:pPr>
      <w:r>
        <w:rPr/>
        <w:t>Имајући у виду наведену законску обавезу неопходно је да надлежни орган локалне власти на годишњем нивоу донесе план поступног увођења родно одговорног буџетирања , којим ће одредити једног или више корисника буџетских средстава и један или више програма  за који ће се дефинисати  најмање један родно одговорни циљ и одговарајући индикатори који адекватно мере допринос циља унапређењу равноправности између жена и мушкараца.</w:t>
      </w:r>
    </w:p>
    <w:p>
      <w:pPr>
        <w:pStyle w:val="ListParagraph"/>
        <w:ind w:left="0" w:firstLine="720"/>
        <w:rPr>
          <w:b/>
          <w:b/>
          <w:color w:val="7F7F7F" w:themeColor="text1" w:themeTint="80"/>
        </w:rPr>
      </w:pPr>
      <w:r>
        <w:rPr/>
        <w:t xml:space="preserve"> </w:t>
      </w:r>
      <w:r>
        <w:rPr/>
        <w:t>Родна компонента буџета за 202</w:t>
      </w:r>
      <w:r>
        <w:rPr>
          <w:lang w:val="sr-RS"/>
        </w:rPr>
        <w:t>2</w:t>
      </w:r>
      <w:r>
        <w:rPr/>
        <w:t>. годину дефинисана је Планом поступног увођења родно одговорног буџетирања за кориснике буџетских средстава Општинe Ћићевац, за 202</w:t>
      </w:r>
      <w:r>
        <w:rPr>
          <w:lang w:val="sr-RS"/>
        </w:rPr>
        <w:t>2</w:t>
      </w:r>
      <w:r>
        <w:rPr/>
        <w:t>. годину, путем дефинисања следећих  програма</w:t>
      </w:r>
      <w:r>
        <w:rPr>
          <w:b/>
          <w:color w:val="7F7F7F" w:themeColor="text1" w:themeTint="80"/>
        </w:rPr>
        <w:t>:</w:t>
      </w:r>
    </w:p>
    <w:p>
      <w:pPr>
        <w:pStyle w:val="ListParagraph"/>
        <w:ind w:left="0" w:firstLine="720"/>
        <w:rPr>
          <w:color w:val="000000" w:themeColor="text1"/>
        </w:rPr>
      </w:pPr>
      <w:r>
        <w:rPr>
          <w:color w:val="000000" w:themeColor="text1"/>
        </w:rPr>
      </w:r>
    </w:p>
    <w:tbl>
      <w:tblPr>
        <w:tblStyle w:val="TableGrid"/>
        <w:tblW w:w="9576" w:type="dxa"/>
        <w:jc w:val="left"/>
        <w:tblInd w:w="0" w:type="dxa"/>
        <w:tblCellMar>
          <w:top w:w="0" w:type="dxa"/>
          <w:left w:w="108" w:type="dxa"/>
          <w:bottom w:w="0" w:type="dxa"/>
          <w:right w:w="108" w:type="dxa"/>
        </w:tblCellMar>
        <w:tblLook w:val="04a0"/>
      </w:tblPr>
      <w:tblGrid>
        <w:gridCol w:w="813"/>
        <w:gridCol w:w="4110"/>
        <w:gridCol w:w="4653"/>
      </w:tblGrid>
      <w:tr>
        <w:trPr/>
        <w:tc>
          <w:tcPr>
            <w:tcW w:w="813" w:type="dxa"/>
            <w:tcBorders/>
          </w:tcPr>
          <w:p>
            <w:pPr>
              <w:pStyle w:val="ListParagraph"/>
              <w:spacing w:lineRule="auto" w:line="240" w:before="0" w:after="0"/>
              <w:ind w:left="0" w:hanging="0"/>
              <w:contextualSpacing/>
              <w:rPr>
                <w:color w:val="000000" w:themeColor="text1"/>
              </w:rPr>
            </w:pPr>
            <w:r>
              <w:rPr>
                <w:color w:val="000000" w:themeColor="text1"/>
              </w:rPr>
              <w:t>Редни број</w:t>
            </w:r>
          </w:p>
        </w:tc>
        <w:tc>
          <w:tcPr>
            <w:tcW w:w="4110" w:type="dxa"/>
            <w:tcBorders/>
          </w:tcPr>
          <w:p>
            <w:pPr>
              <w:pStyle w:val="ListParagraph"/>
              <w:spacing w:lineRule="auto" w:line="240" w:before="0" w:after="0"/>
              <w:ind w:left="0" w:hanging="0"/>
              <w:contextualSpacing/>
              <w:jc w:val="center"/>
              <w:rPr>
                <w:color w:val="000000" w:themeColor="text1"/>
              </w:rPr>
            </w:pPr>
            <w:r>
              <w:rPr>
                <w:color w:val="000000" w:themeColor="text1"/>
              </w:rPr>
            </w:r>
          </w:p>
          <w:p>
            <w:pPr>
              <w:pStyle w:val="ListParagraph"/>
              <w:spacing w:lineRule="auto" w:line="240" w:before="0" w:after="0"/>
              <w:ind w:left="0" w:hanging="0"/>
              <w:contextualSpacing/>
              <w:jc w:val="center"/>
              <w:rPr>
                <w:color w:val="000000" w:themeColor="text1"/>
              </w:rPr>
            </w:pPr>
            <w:r>
              <w:rPr>
                <w:color w:val="000000" w:themeColor="text1"/>
              </w:rPr>
            </w:r>
          </w:p>
          <w:p>
            <w:pPr>
              <w:pStyle w:val="ListParagraph"/>
              <w:spacing w:lineRule="auto" w:line="240" w:before="0" w:after="0"/>
              <w:ind w:left="0" w:hanging="0"/>
              <w:contextualSpacing/>
              <w:jc w:val="center"/>
              <w:rPr>
                <w:color w:val="000000" w:themeColor="text1"/>
              </w:rPr>
            </w:pPr>
            <w:r>
              <w:rPr>
                <w:color w:val="000000" w:themeColor="text1"/>
              </w:rPr>
              <w:t>Назив буџетског корисника</w:t>
            </w:r>
          </w:p>
        </w:tc>
        <w:tc>
          <w:tcPr>
            <w:tcW w:w="4653" w:type="dxa"/>
            <w:tcBorders/>
          </w:tcPr>
          <w:p>
            <w:pPr>
              <w:pStyle w:val="ListParagraph"/>
              <w:spacing w:lineRule="auto" w:line="240" w:before="0" w:after="0"/>
              <w:ind w:left="0" w:hanging="0"/>
              <w:contextualSpacing/>
              <w:jc w:val="center"/>
              <w:rPr>
                <w:color w:val="000000" w:themeColor="text1"/>
              </w:rPr>
            </w:pPr>
            <w:r>
              <w:rPr>
                <w:color w:val="000000" w:themeColor="text1"/>
              </w:rPr>
              <w:t>Назив програма</w:t>
            </w:r>
          </w:p>
          <w:p>
            <w:pPr>
              <w:pStyle w:val="ListParagraph"/>
              <w:spacing w:lineRule="auto" w:line="240" w:before="0" w:after="0"/>
              <w:ind w:left="0" w:hanging="0"/>
              <w:contextualSpacing/>
              <w:jc w:val="center"/>
              <w:rPr>
                <w:color w:val="000000" w:themeColor="text1"/>
              </w:rPr>
            </w:pPr>
            <w:r>
              <w:rPr>
                <w:color w:val="000000" w:themeColor="text1"/>
              </w:rPr>
              <w:t>(број и назив програма у складу са униформном програмском структуром буџета ЈЛС утврђеном у 202</w:t>
            </w:r>
            <w:r>
              <w:rPr>
                <w:color w:val="000000" w:themeColor="text1"/>
                <w:lang w:val="sr-RS"/>
              </w:rPr>
              <w:t>2</w:t>
            </w:r>
            <w:r>
              <w:rPr>
                <w:color w:val="000000" w:themeColor="text1"/>
              </w:rPr>
              <w:t>. години)</w:t>
            </w:r>
          </w:p>
          <w:p>
            <w:pPr>
              <w:pStyle w:val="ListParagraph"/>
              <w:spacing w:lineRule="auto" w:line="240" w:before="0" w:after="0"/>
              <w:ind w:left="-5212" w:firstLine="426"/>
              <w:contextualSpacing/>
              <w:jc w:val="center"/>
              <w:rPr>
                <w:color w:val="000000" w:themeColor="text1"/>
              </w:rPr>
            </w:pPr>
            <w:r>
              <w:rPr>
                <w:color w:val="000000" w:themeColor="text1"/>
              </w:rPr>
            </w:r>
          </w:p>
        </w:tc>
      </w:tr>
      <w:tr>
        <w:trPr/>
        <w:tc>
          <w:tcPr>
            <w:tcW w:w="813" w:type="dxa"/>
            <w:tcBorders/>
          </w:tcPr>
          <w:p>
            <w:pPr>
              <w:pStyle w:val="ListParagraph"/>
              <w:spacing w:lineRule="auto" w:line="240" w:before="0" w:after="0"/>
              <w:ind w:left="0" w:hanging="0"/>
              <w:contextualSpacing/>
              <w:rPr>
                <w:color w:val="000000" w:themeColor="text1"/>
              </w:rPr>
            </w:pPr>
            <w:r>
              <w:rPr>
                <w:color w:val="000000" w:themeColor="text1"/>
              </w:rPr>
              <w:t>1.</w:t>
            </w:r>
          </w:p>
        </w:tc>
        <w:tc>
          <w:tcPr>
            <w:tcW w:w="4110" w:type="dxa"/>
            <w:tcBorders/>
          </w:tcPr>
          <w:p>
            <w:pPr>
              <w:pStyle w:val="ListParagraph"/>
              <w:spacing w:lineRule="auto" w:line="240" w:before="0" w:after="0"/>
              <w:ind w:left="0" w:hanging="0"/>
              <w:contextualSpacing/>
              <w:rPr>
                <w:color w:val="000000" w:themeColor="text1"/>
              </w:rPr>
            </w:pPr>
            <w:r>
              <w:rPr>
                <w:color w:val="000000" w:themeColor="text1"/>
              </w:rPr>
              <w:t>Општинска управа</w:t>
            </w:r>
          </w:p>
        </w:tc>
        <w:tc>
          <w:tcPr>
            <w:tcW w:w="4653" w:type="dxa"/>
            <w:tcBorders/>
          </w:tcPr>
          <w:p>
            <w:pPr>
              <w:pStyle w:val="ListParagraph"/>
              <w:spacing w:lineRule="auto" w:line="240" w:before="0" w:after="0"/>
              <w:ind w:left="0" w:hanging="0"/>
              <w:contextualSpacing/>
              <w:rPr>
                <w:color w:val="000000" w:themeColor="text1"/>
              </w:rPr>
            </w:pPr>
            <w:r>
              <w:rPr>
                <w:color w:val="000000" w:themeColor="text1"/>
              </w:rPr>
              <w:t>Програм 3 – Локални економски развој</w:t>
            </w:r>
          </w:p>
        </w:tc>
      </w:tr>
      <w:tr>
        <w:trPr/>
        <w:tc>
          <w:tcPr>
            <w:tcW w:w="813" w:type="dxa"/>
            <w:tcBorders/>
          </w:tcPr>
          <w:p>
            <w:pPr>
              <w:pStyle w:val="ListParagraph"/>
              <w:spacing w:lineRule="auto" w:line="240" w:before="0" w:after="0"/>
              <w:ind w:left="0" w:hanging="0"/>
              <w:contextualSpacing/>
              <w:rPr>
                <w:color w:val="000000" w:themeColor="text1"/>
              </w:rPr>
            </w:pPr>
            <w:r>
              <w:rPr>
                <w:color w:val="000000" w:themeColor="text1"/>
              </w:rPr>
              <w:t>2.</w:t>
            </w:r>
          </w:p>
        </w:tc>
        <w:tc>
          <w:tcPr>
            <w:tcW w:w="4110" w:type="dxa"/>
            <w:tcBorders/>
          </w:tcPr>
          <w:p>
            <w:pPr>
              <w:pStyle w:val="ListParagraph"/>
              <w:spacing w:lineRule="auto" w:line="240" w:before="0" w:after="0"/>
              <w:ind w:left="0" w:hanging="0"/>
              <w:contextualSpacing/>
              <w:rPr>
                <w:color w:val="000000" w:themeColor="text1"/>
              </w:rPr>
            </w:pPr>
            <w:r>
              <w:rPr>
                <w:color w:val="000000" w:themeColor="text1"/>
              </w:rPr>
              <w:t>Општинска управа</w:t>
            </w:r>
          </w:p>
        </w:tc>
        <w:tc>
          <w:tcPr>
            <w:tcW w:w="4653" w:type="dxa"/>
            <w:tcBorders/>
          </w:tcPr>
          <w:p>
            <w:pPr>
              <w:pStyle w:val="ListParagraph"/>
              <w:spacing w:lineRule="auto" w:line="240" w:before="0" w:after="0"/>
              <w:ind w:left="0" w:hanging="0"/>
              <w:contextualSpacing/>
              <w:rPr>
                <w:color w:val="000000" w:themeColor="text1"/>
              </w:rPr>
            </w:pPr>
            <w:r>
              <w:rPr>
                <w:color w:val="000000" w:themeColor="text1"/>
              </w:rPr>
              <w:t>Програм 11 – Социјална и дечја заштита</w:t>
            </w:r>
          </w:p>
        </w:tc>
      </w:tr>
      <w:tr>
        <w:trPr/>
        <w:tc>
          <w:tcPr>
            <w:tcW w:w="813" w:type="dxa"/>
            <w:tcBorders/>
          </w:tcPr>
          <w:p>
            <w:pPr>
              <w:pStyle w:val="ListParagraph"/>
              <w:spacing w:lineRule="auto" w:line="240" w:before="0" w:after="0"/>
              <w:ind w:left="0" w:hanging="0"/>
              <w:contextualSpacing/>
              <w:rPr>
                <w:color w:val="000000" w:themeColor="text1"/>
              </w:rPr>
            </w:pPr>
            <w:r>
              <w:rPr>
                <w:color w:val="000000" w:themeColor="text1"/>
              </w:rPr>
              <w:t>3.</w:t>
            </w:r>
          </w:p>
        </w:tc>
        <w:tc>
          <w:tcPr>
            <w:tcW w:w="4110" w:type="dxa"/>
            <w:tcBorders/>
          </w:tcPr>
          <w:p>
            <w:pPr>
              <w:pStyle w:val="ListParagraph"/>
              <w:spacing w:lineRule="auto" w:line="240" w:before="0" w:after="0"/>
              <w:ind w:left="0" w:hanging="0"/>
              <w:contextualSpacing/>
              <w:rPr>
                <w:color w:val="000000" w:themeColor="text1"/>
              </w:rPr>
            </w:pPr>
            <w:r>
              <w:rPr>
                <w:color w:val="000000" w:themeColor="text1"/>
              </w:rPr>
              <w:t>Општинска управа</w:t>
            </w:r>
          </w:p>
        </w:tc>
        <w:tc>
          <w:tcPr>
            <w:tcW w:w="4653" w:type="dxa"/>
            <w:tcBorders/>
          </w:tcPr>
          <w:p>
            <w:pPr>
              <w:pStyle w:val="ListParagraph"/>
              <w:spacing w:lineRule="auto" w:line="240" w:before="0" w:after="0"/>
              <w:ind w:left="0" w:hanging="0"/>
              <w:contextualSpacing/>
              <w:rPr>
                <w:color w:val="000000" w:themeColor="text1"/>
              </w:rPr>
            </w:pPr>
            <w:r>
              <w:rPr>
                <w:color w:val="000000" w:themeColor="text1"/>
              </w:rPr>
              <w:t>Програм 14 – Развој спорта и омладине</w:t>
            </w:r>
          </w:p>
        </w:tc>
      </w:tr>
    </w:tbl>
    <w:p>
      <w:pPr>
        <w:pStyle w:val="Normal"/>
        <w:rPr>
          <w:color w:val="FF0000"/>
        </w:rPr>
      </w:pPr>
      <w:r>
        <w:rPr>
          <w:color w:val="FF0000"/>
        </w:rPr>
      </w:r>
    </w:p>
    <w:p>
      <w:pPr>
        <w:pStyle w:val="ListParagraph"/>
        <w:ind w:left="0" w:firstLine="720"/>
        <w:rPr/>
      </w:pPr>
      <w:r>
        <w:rPr/>
        <w:t xml:space="preserve"> </w:t>
      </w:r>
    </w:p>
    <w:p>
      <w:pPr>
        <w:pStyle w:val="ListParagraph"/>
        <w:ind w:left="0" w:firstLine="720"/>
        <w:rPr>
          <w:b/>
          <w:b/>
        </w:rPr>
      </w:pPr>
      <w:r>
        <w:rPr>
          <w:b/>
        </w:rPr>
        <w:t xml:space="preserve"> </w:t>
      </w:r>
      <w:r>
        <w:rPr>
          <w:b/>
        </w:rPr>
        <w:t>VIII НАЧИН НА КОЈИ ЋЕ СЕ ИСКАЗАТИ ПРОГРАМСКЕ ИНФОРМАЦИЈЕ</w:t>
      </w:r>
    </w:p>
    <w:p>
      <w:pPr>
        <w:pStyle w:val="ListParagraph"/>
        <w:ind w:left="0" w:firstLine="720"/>
        <w:rPr/>
      </w:pPr>
      <w:r>
        <w:rPr/>
      </w:r>
    </w:p>
    <w:p>
      <w:pPr>
        <w:pStyle w:val="ListParagraph"/>
        <w:ind w:left="0" w:firstLine="720"/>
        <w:rPr/>
      </w:pPr>
      <w:r>
        <w:rPr/>
        <w:t xml:space="preserve"> </w:t>
      </w:r>
      <w:r>
        <w:rPr/>
        <w:t xml:space="preserve">Законом о буџетском систему програмски буџет дефинисан је на следећи начин: ''Програмски део буџета саставни је део посебног дела буџета који садржи програме и активности корисника буџетских средстава, који се спроводе у циљу ефикасног управљања средствима предложеним програмима, а који доприносе остварењу стратешких циљева у складу са економском политиком земље.'' </w:t>
      </w:r>
    </w:p>
    <w:p>
      <w:pPr>
        <w:pStyle w:val="ListParagraph"/>
        <w:ind w:left="0" w:firstLine="720"/>
        <w:rPr/>
      </w:pPr>
      <w:r>
        <w:rPr/>
        <w:t>Структуру програмског буџета чине три категорије: - Програми, - Програмске активности и - Пројекти.</w:t>
      </w:r>
    </w:p>
    <w:p>
      <w:pPr>
        <w:pStyle w:val="ListParagraph"/>
        <w:ind w:left="0" w:firstLine="720"/>
        <w:rPr/>
      </w:pPr>
      <w:r>
        <w:rPr/>
        <w:t xml:space="preserve"> </w:t>
      </w:r>
      <w:r>
        <w:rPr/>
        <w:t>Програм је основни елемент програмског буџета.</w:t>
      </w:r>
    </w:p>
    <w:p>
      <w:pPr>
        <w:pStyle w:val="ListParagraph"/>
        <w:ind w:left="0" w:firstLine="720"/>
        <w:rPr/>
      </w:pPr>
      <w:r>
        <w:rPr/>
        <w:t xml:space="preserve"> </w:t>
      </w:r>
      <w:r>
        <w:rPr/>
        <w:t>Програм представља скуп мера које корисници буџета спроводе у складу са својим кључним надлежностима и утврђеним средњорочним циљевима.</w:t>
      </w:r>
    </w:p>
    <w:p>
      <w:pPr>
        <w:pStyle w:val="ListParagraph"/>
        <w:ind w:left="0" w:firstLine="720"/>
        <w:rPr/>
      </w:pPr>
      <w:r>
        <w:rPr/>
        <w:t xml:space="preserve"> </w:t>
      </w:r>
      <w:r>
        <w:rPr/>
        <w:t>Програм се састоји од независних, али тесно повезаних компоненти – програмских активности и пројеката.</w:t>
      </w:r>
    </w:p>
    <w:p>
      <w:pPr>
        <w:pStyle w:val="ListParagraph"/>
        <w:ind w:left="0" w:firstLine="720"/>
        <w:rPr/>
      </w:pPr>
      <w:r>
        <w:rPr/>
        <w:t xml:space="preserve"> </w:t>
      </w:r>
      <w:r>
        <w:rPr/>
        <w:t>Алокација средстава опредељених за програм врши се апропријацијама везаним за програмске активности и пројекте у оквиру програма.</w:t>
      </w:r>
    </w:p>
    <w:p>
      <w:pPr>
        <w:pStyle w:val="ListParagraph"/>
        <w:ind w:left="0" w:firstLine="720"/>
        <w:rPr/>
      </w:pPr>
      <w:r>
        <w:rPr/>
        <w:t xml:space="preserve"> </w:t>
      </w:r>
      <w:r>
        <w:rPr/>
        <w:t>Програм се утврђује и спроводи од стране једног или више корисника буџета и није временски ограничен.</w:t>
      </w:r>
    </w:p>
    <w:p>
      <w:pPr>
        <w:pStyle w:val="ListParagraph"/>
        <w:ind w:left="0" w:firstLine="720"/>
        <w:rPr/>
      </w:pPr>
      <w:r>
        <w:rPr/>
        <w:t xml:space="preserve"> </w:t>
      </w:r>
      <w:r>
        <w:rPr/>
        <w:t xml:space="preserve">Програмска активност је текућа делатност корисника буџета. </w:t>
      </w:r>
    </w:p>
    <w:p>
      <w:pPr>
        <w:pStyle w:val="ListParagraph"/>
        <w:rPr/>
      </w:pPr>
      <w:r>
        <w:rPr/>
        <w:t xml:space="preserve">Програмска активност се утврђује на основу његове уже дефинисане надлежности. Програмска активност мора бити део програма, спроводи се од стране само једног корисника буџета и није временски ограничена. </w:t>
      </w:r>
    </w:p>
    <w:p>
      <w:pPr>
        <w:pStyle w:val="ListParagraph"/>
        <w:ind w:left="0" w:firstLine="720"/>
        <w:rPr/>
      </w:pPr>
      <w:r>
        <w:rPr/>
        <w:t xml:space="preserve">Пројекат је временски ограничен пословни подухват корисника средстава буџета чијим спровођењем се постижу циљеви који доприносе постизању циљева програма. </w:t>
      </w:r>
    </w:p>
    <w:p>
      <w:pPr>
        <w:pStyle w:val="ListParagraph"/>
        <w:ind w:left="0" w:firstLine="720"/>
        <w:rPr/>
      </w:pPr>
      <w:r>
        <w:rPr/>
        <w:t xml:space="preserve"> </w:t>
      </w:r>
      <w:r>
        <w:rPr/>
        <w:t>У буџету локалних самоуправа пројекти нису унапред дефинисани и одређени.</w:t>
      </w:r>
    </w:p>
    <w:p>
      <w:pPr>
        <w:pStyle w:val="ListParagraph"/>
        <w:ind w:left="0" w:firstLine="720"/>
        <w:rPr/>
      </w:pPr>
      <w:r>
        <w:rPr/>
        <w:t xml:space="preserve"> </w:t>
      </w:r>
      <w:r>
        <w:rPr/>
        <w:t>Пројекти се могу односити на капитална улагања, унапређење процедуре у јавној администрацији, усавршавање државних службеника и намештеника и сличне подухвате.</w:t>
      </w:r>
    </w:p>
    <w:p>
      <w:pPr>
        <w:pStyle w:val="ListParagraph"/>
        <w:ind w:left="0" w:firstLine="720"/>
        <w:rPr/>
      </w:pPr>
      <w:r>
        <w:rPr/>
        <w:t xml:space="preserve">Такође, пројекти могу представљати краткорочни инструмент утврђене јавне политике. Јединице локалне самоуправе (у даљем тексту: ЈЛС) своју програмску структуру утврђују на основу листе програма и програмских активности униформисаних за све ЈЛС. У тој листи је за програме и програмске активности утврђена њихова шифра, назив, сектор коме припадају и сврха. </w:t>
      </w:r>
    </w:p>
    <w:p>
      <w:pPr>
        <w:pStyle w:val="ListParagraph"/>
        <w:ind w:left="0" w:firstLine="720"/>
        <w:rPr/>
      </w:pPr>
      <w:r>
        <w:rPr/>
        <w:t>Министарство финансија је у сарадњи са СКГО припремило униформну програмску структуру за ЈЛС која се примењује у изради одлуке о буџету јединица локалне самоуправе и која садржи 17 програма.</w:t>
      </w:r>
    </w:p>
    <w:p>
      <w:pPr>
        <w:pStyle w:val="ListParagraph"/>
        <w:ind w:left="0" w:hanging="0"/>
        <w:rPr/>
      </w:pPr>
      <w:r>
        <w:rPr/>
        <w:t xml:space="preserve"> </w:t>
      </w:r>
      <w:r>
        <w:rPr/>
        <w:tab/>
        <w:t xml:space="preserve">Министарство финансија је такође у сарадњи са СКГО припремило документ који садржи циљеве програма и програмских активности и листу униформних индикатора који треба у значајној мери да олакша припрему буџета од стране локалних власти и осигура униформност и упоредивост садржине програмских буџета ЈЛС. </w:t>
      </w:r>
    </w:p>
    <w:p>
      <w:pPr>
        <w:pStyle w:val="ListParagraph"/>
        <w:ind w:left="0" w:firstLine="720"/>
        <w:rPr/>
      </w:pPr>
      <w:r>
        <w:rPr/>
        <w:t>Упутство за припрему програмског буџета, са анексом 5 којим је дефинисана униформна програмска структура за ЈЛС, као и документ који садржи циљеве програма и програмских активности и листа униформних индикатора може се наћи на сајту Министарства финансија (www.mfin.gov.rs), као и на сајту СКГО (</w:t>
      </w:r>
      <w:hyperlink r:id="rId3">
        <w:r>
          <w:rPr>
            <w:rStyle w:val="InternetLink"/>
          </w:rPr>
          <w:t>www.skgo.org</w:t>
        </w:r>
      </w:hyperlink>
      <w:r>
        <w:rPr/>
        <w:t xml:space="preserve">). </w:t>
      </w:r>
    </w:p>
    <w:p>
      <w:pPr>
        <w:pStyle w:val="ListParagraph"/>
        <w:ind w:left="0" w:firstLine="720"/>
        <w:rPr/>
      </w:pPr>
      <w:r>
        <w:rPr/>
      </w:r>
    </w:p>
    <w:p>
      <w:pPr>
        <w:pStyle w:val="ListParagraph"/>
        <w:ind w:left="0" w:firstLine="720"/>
        <w:rPr/>
      </w:pPr>
      <w:r>
        <w:rPr/>
        <w:t>Напомене везане за попуњавање табела:</w:t>
      </w:r>
    </w:p>
    <w:p>
      <w:pPr>
        <w:pStyle w:val="ListParagraph"/>
        <w:ind w:left="0" w:firstLine="720"/>
        <w:rPr/>
      </w:pPr>
      <w:r>
        <w:rPr/>
        <w:t>Табеле се достављају у штампаном облику, са печатом и потписом функционера буџетског корисника;</w:t>
      </w:r>
    </w:p>
    <w:p>
      <w:pPr>
        <w:pStyle w:val="ListParagraph"/>
        <w:ind w:left="0" w:firstLine="720"/>
        <w:rPr/>
      </w:pPr>
      <w:r>
        <w:rPr/>
        <w:t>Износи се уносе у хиљадама динара.</w:t>
      </w:r>
    </w:p>
    <w:p>
      <w:pPr>
        <w:pStyle w:val="NoSpacing"/>
        <w:rPr/>
      </w:pPr>
      <w:r>
        <w:rPr/>
      </w:r>
    </w:p>
    <w:p>
      <w:pPr>
        <w:pStyle w:val="NoSpacing"/>
        <w:rPr/>
      </w:pPr>
      <w:r>
        <w:rPr/>
        <w:t xml:space="preserve">                                                                                                             </w:t>
      </w:r>
      <w:r>
        <w:rPr>
          <w:lang w:val="sr-RS"/>
        </w:rPr>
        <w:t>Марија Медаровић</w:t>
      </w:r>
    </w:p>
    <w:p>
      <w:pPr>
        <w:pStyle w:val="NoSpacing"/>
        <w:rPr/>
      </w:pPr>
      <w:r>
        <w:rPr>
          <w:lang w:val="sr-RS"/>
        </w:rPr>
        <w:t xml:space="preserve">                                                                </w:t>
      </w:r>
      <w:r>
        <w:rPr>
          <w:lang w:val="sr-RS"/>
        </w:rPr>
        <w:t>Шеф одсека за буџет финасије, локалну пореску администрацију,</w:t>
      </w:r>
    </w:p>
    <w:p>
      <w:pPr>
        <w:pStyle w:val="NoSpacing"/>
        <w:rPr/>
      </w:pPr>
      <w:r>
        <w:rPr>
          <w:lang w:val="sr-RS"/>
        </w:rPr>
        <w:t xml:space="preserve">                                                                                      </w:t>
      </w:r>
      <w:r>
        <w:rPr>
          <w:lang w:val="sr-RS"/>
        </w:rPr>
        <w:t>привреду и локални економски развој</w:t>
      </w:r>
    </w:p>
    <w:sectPr>
      <w:type w:val="nextPage"/>
      <w:pgSz w:w="12240" w:h="15840"/>
      <w:pgMar w:left="1440" w:right="1304" w:header="0" w:top="1134" w:footer="0" w:bottom="130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110" w:hanging="360"/>
      </w:p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6"/>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278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817d20"/>
    <w:rPr/>
  </w:style>
  <w:style w:type="character" w:styleId="FooterChar" w:customStyle="1">
    <w:name w:val="Footer Char"/>
    <w:basedOn w:val="DefaultParagraphFont"/>
    <w:link w:val="Footer"/>
    <w:uiPriority w:val="99"/>
    <w:semiHidden/>
    <w:qFormat/>
    <w:rsid w:val="00817d20"/>
    <w:rPr/>
  </w:style>
  <w:style w:type="character" w:styleId="InternetLink">
    <w:name w:val="Hyperlink"/>
    <w:basedOn w:val="DefaultParagraphFont"/>
    <w:uiPriority w:val="99"/>
    <w:unhideWhenUsed/>
    <w:rsid w:val="00cd1a16"/>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f47ff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8f2941"/>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17d20"/>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rsid w:val="00817d20"/>
    <w:pPr>
      <w:tabs>
        <w:tab w:val="clear" w:pos="720"/>
        <w:tab w:val="center" w:pos="4680" w:leader="none"/>
        <w:tab w:val="right" w:pos="9360" w:leader="none"/>
      </w:tabs>
      <w:spacing w:lineRule="auto" w:line="24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817d20"/>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fin.gov.rs/" TargetMode="External"/><Relationship Id="rId3" Type="http://schemas.openxmlformats.org/officeDocument/2006/relationships/hyperlink" Target="http://www.skgo.org/"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34E23-AB9E-410F-B023-DB2CEDE4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Application>LibreOffice/6.4.0.3$Windows_X86_64 LibreOffice_project/b0a288ab3d2d4774cb44b62f04d5d28733ac6df8</Application>
  <Pages>13</Pages>
  <Words>4373</Words>
  <Characters>26056</Characters>
  <CharactersWithSpaces>30492</CharactersWithSpaces>
  <Paragraphs>404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2017-07-31T09:41:00Z</dcterms:created>
  <dc:creator>istanoje</dc:creator>
  <dc:description/>
  <dc:language>en-US</dc:language>
  <cp:lastModifiedBy/>
  <cp:lastPrinted>2019-08-07T06:23:00Z</cp:lastPrinted>
  <dcterms:modified xsi:type="dcterms:W3CDTF">2021-08-23T12:56:36Z</dcterms:modified>
  <cp:revision>218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